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C5A90" w14:textId="77777777" w:rsidR="004859A8" w:rsidRDefault="004859A8">
      <w:pPr>
        <w:pStyle w:val="BodyText"/>
        <w:spacing w:before="10"/>
        <w:rPr>
          <w:rFonts w:ascii="Times New Roman"/>
        </w:rPr>
      </w:pPr>
    </w:p>
    <w:p w14:paraId="39D7EF5E" w14:textId="77777777" w:rsidR="0064554E" w:rsidRPr="0064554E" w:rsidRDefault="0064554E" w:rsidP="0064554E">
      <w:pPr>
        <w:jc w:val="center"/>
        <w:rPr>
          <w:b/>
          <w:bCs/>
          <w:sz w:val="44"/>
          <w:szCs w:val="44"/>
        </w:rPr>
      </w:pPr>
      <w:r w:rsidRPr="0064554E">
        <w:rPr>
          <w:b/>
          <w:bCs/>
          <w:sz w:val="44"/>
          <w:szCs w:val="44"/>
        </w:rPr>
        <w:t>Terms and conditions</w:t>
      </w:r>
    </w:p>
    <w:p w14:paraId="2C06C8D5" w14:textId="77777777" w:rsidR="0064554E" w:rsidRDefault="0064554E" w:rsidP="0064554E">
      <w:pPr>
        <w:jc w:val="center"/>
        <w:rPr>
          <w:b/>
          <w:bCs/>
          <w:sz w:val="44"/>
          <w:szCs w:val="44"/>
        </w:rPr>
      </w:pPr>
      <w:r w:rsidRPr="0064554E">
        <w:rPr>
          <w:b/>
          <w:bCs/>
          <w:sz w:val="44"/>
          <w:szCs w:val="44"/>
        </w:rPr>
        <w:t>"IN by Ana Hotels"</w:t>
      </w:r>
    </w:p>
    <w:p w14:paraId="72820430" w14:textId="77777777" w:rsidR="0064554E" w:rsidRPr="0064554E" w:rsidRDefault="0064554E" w:rsidP="0064554E">
      <w:pPr>
        <w:jc w:val="center"/>
        <w:rPr>
          <w:b/>
          <w:bCs/>
          <w:sz w:val="44"/>
          <w:szCs w:val="44"/>
        </w:rPr>
      </w:pPr>
    </w:p>
    <w:p w14:paraId="1B536B7F" w14:textId="77777777" w:rsidR="0064554E" w:rsidRPr="0064554E" w:rsidRDefault="0064554E" w:rsidP="0064554E">
      <w:pPr>
        <w:rPr>
          <w:sz w:val="17"/>
        </w:rPr>
      </w:pPr>
    </w:p>
    <w:p w14:paraId="6A4FB1FD" w14:textId="77777777" w:rsidR="0064554E" w:rsidRPr="0064554E" w:rsidRDefault="0064554E" w:rsidP="0064554E">
      <w:pPr>
        <w:rPr>
          <w:sz w:val="17"/>
        </w:rPr>
      </w:pPr>
    </w:p>
    <w:p w14:paraId="0E6C225C" w14:textId="77777777" w:rsidR="0064554E" w:rsidRPr="0064554E" w:rsidRDefault="0064554E" w:rsidP="0064554E">
      <w:pPr>
        <w:rPr>
          <w:b/>
          <w:bCs/>
        </w:rPr>
      </w:pPr>
      <w:r w:rsidRPr="0064554E">
        <w:rPr>
          <w:b/>
          <w:bCs/>
        </w:rPr>
        <w:t>Art. 1 – The organizer</w:t>
      </w:r>
    </w:p>
    <w:p w14:paraId="656EE907" w14:textId="77777777" w:rsidR="0064554E" w:rsidRPr="0064554E" w:rsidRDefault="0064554E" w:rsidP="0064554E"/>
    <w:p w14:paraId="6AEEA7ED" w14:textId="77777777" w:rsidR="0064554E" w:rsidRPr="0064554E" w:rsidRDefault="0064554E" w:rsidP="0064554E">
      <w:r w:rsidRPr="0064554E">
        <w:t>The organizer is the company S.C. ANA HOTELS SRL with headquarters in Bucharest, Bd. Poligrafiei no. 1C, floor 1, office 9, sector 1, no. of reg. at the Trade Register J40/7935/1993, tax code RO5479061.</w:t>
      </w:r>
    </w:p>
    <w:p w14:paraId="60AD2F00" w14:textId="77777777" w:rsidR="0064554E" w:rsidRPr="0064554E" w:rsidRDefault="0064554E" w:rsidP="0064554E"/>
    <w:p w14:paraId="6EF0EF3C" w14:textId="77777777" w:rsidR="0064554E" w:rsidRPr="0064554E" w:rsidRDefault="0064554E" w:rsidP="0064554E">
      <w:pPr>
        <w:rPr>
          <w:b/>
          <w:bCs/>
        </w:rPr>
      </w:pPr>
      <w:r w:rsidRPr="0064554E">
        <w:rPr>
          <w:b/>
          <w:bCs/>
        </w:rPr>
        <w:t>Art. 2 – Participants</w:t>
      </w:r>
    </w:p>
    <w:p w14:paraId="2C16C1A4" w14:textId="77777777" w:rsidR="0064554E" w:rsidRPr="0064554E" w:rsidRDefault="0064554E" w:rsidP="0064554E"/>
    <w:p w14:paraId="000F7956" w14:textId="5CBA0650" w:rsidR="0064554E" w:rsidRPr="0064554E" w:rsidRDefault="0064554E" w:rsidP="0064554E">
      <w:r w:rsidRPr="0064554E">
        <w:t xml:space="preserve">In the "IN by Ana Hotels" loyalty program, any natural person at least 18 years of age who purchases services from the Sport, Bradul and Poiana Hotels in Poiana Brasov, the Europa Hotel in Eforie Nord, as well as the Crowne Plaza Bucharest Hotel can enroll , hereinafter referred to as Hotels, regardless of their value, which accept and comply with the conditions of this regulation, which can be found on the web page </w:t>
      </w:r>
      <w:hyperlink r:id="rId7" w:history="1">
        <w:r w:rsidR="009562F8" w:rsidRPr="009562F8">
          <w:rPr>
            <w:rStyle w:val="Hyperlink"/>
          </w:rPr>
          <w:t>https://document-tc.galaxy.tf/wdpdf-42qxd6v02485wnok7vluks28w/file.pdf</w:t>
        </w:r>
      </w:hyperlink>
    </w:p>
    <w:p w14:paraId="6CAE9A07" w14:textId="77777777" w:rsidR="0064554E" w:rsidRPr="0064554E" w:rsidRDefault="0064554E" w:rsidP="0064554E"/>
    <w:p w14:paraId="0157EAD2" w14:textId="77777777" w:rsidR="0064554E" w:rsidRPr="0064554E" w:rsidRDefault="0064554E" w:rsidP="0064554E">
      <w:pPr>
        <w:rPr>
          <w:b/>
          <w:bCs/>
        </w:rPr>
      </w:pPr>
      <w:r w:rsidRPr="0064554E">
        <w:rPr>
          <w:b/>
          <w:bCs/>
        </w:rPr>
        <w:t>Art. 3 – Participating hotels and services</w:t>
      </w:r>
    </w:p>
    <w:p w14:paraId="24D8272C" w14:textId="77777777" w:rsidR="0064554E" w:rsidRPr="0064554E" w:rsidRDefault="0064554E" w:rsidP="0064554E"/>
    <w:p w14:paraId="13639543" w14:textId="77777777" w:rsidR="0064554E" w:rsidRPr="0064554E" w:rsidRDefault="0064554E" w:rsidP="0064554E">
      <w:r w:rsidRPr="0064554E">
        <w:t>The status obtained according to Art. 2 can only be used within Hotels. This loyalty program includes the following services and products sold within the Sport, Bradul and Poiana Hotels in Poiana Brasov and the Europa Hotel in Eforie Nord: accommodation services, public catering products/services (excluding banqueting, cigarettes, conference room rentals and others) and SPA products and services. For the Crowne Plaza Bucharest Hotel, the following services and commercialized products are included: catering services (exclusive of banqueting, cigarettes, conference room rentals and others) and SPA products / services.</w:t>
      </w:r>
    </w:p>
    <w:p w14:paraId="6E61D4E3" w14:textId="77777777" w:rsidR="0064554E" w:rsidRPr="0064554E" w:rsidRDefault="0064554E" w:rsidP="0064554E"/>
    <w:p w14:paraId="3A30EABC" w14:textId="77777777" w:rsidR="0064554E" w:rsidRPr="0064554E" w:rsidRDefault="0064554E" w:rsidP="0064554E">
      <w:pPr>
        <w:rPr>
          <w:b/>
          <w:bCs/>
        </w:rPr>
      </w:pPr>
      <w:r w:rsidRPr="0064554E">
        <w:rPr>
          <w:b/>
          <w:bCs/>
        </w:rPr>
        <w:t>Art. 4 – Duration</w:t>
      </w:r>
    </w:p>
    <w:p w14:paraId="01A9FD80" w14:textId="77777777" w:rsidR="0064554E" w:rsidRPr="0064554E" w:rsidRDefault="0064554E" w:rsidP="0064554E"/>
    <w:p w14:paraId="716ECAC0" w14:textId="77777777" w:rsidR="0064554E" w:rsidRPr="0064554E" w:rsidRDefault="0064554E" w:rsidP="0064554E">
      <w:r w:rsidRPr="0064554E">
        <w:t>The period of validity of the loyalty program is unlimited. The organizer reserves the right to terminate the loyalty program, or to modify this regulation, or the participation benefits, in whole or in part, at any time, with or without prior notification.</w:t>
      </w:r>
    </w:p>
    <w:p w14:paraId="42650AE2" w14:textId="77777777" w:rsidR="0064554E" w:rsidRPr="0064554E" w:rsidRDefault="0064554E" w:rsidP="0064554E"/>
    <w:p w14:paraId="395F4B1B" w14:textId="77777777" w:rsidR="0064554E" w:rsidRPr="0064554E" w:rsidRDefault="0064554E" w:rsidP="0064554E">
      <w:pPr>
        <w:rPr>
          <w:b/>
          <w:bCs/>
        </w:rPr>
      </w:pPr>
      <w:r w:rsidRPr="0064554E">
        <w:rPr>
          <w:b/>
          <w:bCs/>
        </w:rPr>
        <w:t>Art. 5 – Validity conditions</w:t>
      </w:r>
    </w:p>
    <w:p w14:paraId="17D11DD5" w14:textId="77777777" w:rsidR="0064554E" w:rsidRPr="0064554E" w:rsidRDefault="0064554E" w:rsidP="0064554E"/>
    <w:p w14:paraId="4C7231BF" w14:textId="77777777" w:rsidR="0064554E" w:rsidRPr="0064554E" w:rsidRDefault="0064554E" w:rsidP="0064554E">
      <w:r w:rsidRPr="0064554E">
        <w:t>To enter the "IN by Ana Hotels" loyalty program, the participant must meet the following conditions:</w:t>
      </w:r>
    </w:p>
    <w:p w14:paraId="53EB3D29" w14:textId="77777777" w:rsidR="0064554E" w:rsidRPr="0064554E" w:rsidRDefault="0064554E" w:rsidP="0064554E">
      <w:r w:rsidRPr="0064554E">
        <w:t>- The participant must fulfill the conditions of Art. 2</w:t>
      </w:r>
    </w:p>
    <w:p w14:paraId="02962065" w14:textId="77777777" w:rsidR="0064554E" w:rsidRPr="0064554E" w:rsidRDefault="0064554E" w:rsidP="0064554E">
      <w:r w:rsidRPr="0064554E">
        <w:t>- The participant must agree with this regulation and provide the following information: name, surname, language of communication, telephone number and e-mail address.</w:t>
      </w:r>
    </w:p>
    <w:p w14:paraId="546575A4" w14:textId="77777777" w:rsidR="0064554E" w:rsidRPr="0064554E" w:rsidRDefault="0064554E" w:rsidP="0064554E">
      <w:r w:rsidRPr="0064554E">
        <w:t>- Bonuses accumulated and not spent within 12 months (silver), 18 months (gold), 24 months (platinum) from the date of their accumulation will be cancelled.</w:t>
      </w:r>
    </w:p>
    <w:p w14:paraId="535F0233" w14:textId="77777777" w:rsidR="0064554E" w:rsidRPr="0064554E" w:rsidRDefault="0064554E" w:rsidP="0064554E"/>
    <w:p w14:paraId="1DB204D5" w14:textId="7EE44566" w:rsidR="005D2232" w:rsidRPr="0064554E" w:rsidRDefault="0064554E" w:rsidP="0064554E">
      <w:pPr>
        <w:rPr>
          <w:b/>
          <w:bCs/>
        </w:rPr>
        <w:sectPr w:rsidR="005D2232" w:rsidRPr="0064554E" w:rsidSect="002256CA">
          <w:headerReference w:type="default" r:id="rId8"/>
          <w:type w:val="continuous"/>
          <w:pgSz w:w="11920" w:h="16860"/>
          <w:pgMar w:top="1580" w:right="1000" w:bottom="280" w:left="1020" w:header="598" w:footer="0" w:gutter="0"/>
          <w:pgNumType w:start="1"/>
          <w:cols w:space="720"/>
        </w:sectPr>
      </w:pPr>
      <w:r w:rsidRPr="0064554E">
        <w:rPr>
          <w:b/>
          <w:bCs/>
        </w:rPr>
        <w:t>Art. 6 – Method of awarding loyalty bonuses</w:t>
      </w:r>
    </w:p>
    <w:p w14:paraId="26DD427F" w14:textId="6924A928" w:rsidR="005D2232" w:rsidRPr="0064554E" w:rsidRDefault="005D2232">
      <w:pPr>
        <w:spacing w:before="9"/>
        <w:rPr>
          <w:rFonts w:ascii="Arial"/>
          <w:b/>
          <w:bCs/>
        </w:rPr>
      </w:pPr>
    </w:p>
    <w:p w14:paraId="4B1D9193" w14:textId="77777777" w:rsidR="005D2232" w:rsidRDefault="005D2232">
      <w:pPr>
        <w:rPr>
          <w:rFonts w:ascii="Arial"/>
          <w:sz w:val="16"/>
        </w:rPr>
        <w:sectPr w:rsidR="005D2232" w:rsidSect="002256CA">
          <w:type w:val="continuous"/>
          <w:pgSz w:w="11920" w:h="16860"/>
          <w:pgMar w:top="1580" w:right="1000" w:bottom="280" w:left="1020" w:header="598" w:footer="0" w:gutter="0"/>
          <w:cols w:num="4" w:space="720" w:equalWidth="0">
            <w:col w:w="2237" w:space="40"/>
            <w:col w:w="1863" w:space="39"/>
            <w:col w:w="1443" w:space="39"/>
            <w:col w:w="4239"/>
          </w:cols>
        </w:sectPr>
      </w:pPr>
    </w:p>
    <w:p w14:paraId="2AF6F537" w14:textId="77777777" w:rsidR="0064554E" w:rsidRPr="0064554E" w:rsidRDefault="0064554E" w:rsidP="0064554E">
      <w:pPr>
        <w:pStyle w:val="BodyText"/>
        <w:spacing w:before="1" w:after="1"/>
        <w:rPr>
          <w:b/>
        </w:rPr>
      </w:pPr>
    </w:p>
    <w:p w14:paraId="5F2A1B11" w14:textId="77777777" w:rsidR="0064554E" w:rsidRPr="0064554E" w:rsidRDefault="0064554E" w:rsidP="0064554E">
      <w:pPr>
        <w:pStyle w:val="BodyText"/>
        <w:spacing w:before="1" w:after="1"/>
        <w:rPr>
          <w:bCs/>
        </w:rPr>
      </w:pPr>
      <w:r w:rsidRPr="0064554E">
        <w:rPr>
          <w:bCs/>
        </w:rPr>
        <w:t>- Enrollment in the program can be done from the In by Ana Hotels application, in hotel receptions or online, directly on the anahotels.ro website, Loyalty Program section if the validity conditions from Art 5 are met.</w:t>
      </w:r>
    </w:p>
    <w:p w14:paraId="183AEA28" w14:textId="0E8729B6" w:rsidR="0064554E" w:rsidRPr="0064554E" w:rsidRDefault="0064554E" w:rsidP="0064554E">
      <w:pPr>
        <w:pStyle w:val="BodyText"/>
        <w:spacing w:before="1" w:after="1"/>
        <w:rPr>
          <w:bCs/>
        </w:rPr>
      </w:pPr>
      <w:r w:rsidRPr="0064554E">
        <w:rPr>
          <w:bCs/>
        </w:rPr>
        <w:t>- For each purchase of products and services, the bonus related to the amount spent will be transferred to the loyalty account, calculated as a percentage (%) of the value of the purchase, depending on the qualification level, provided that you mention that you are a member of the loyalty program at the reception hotels at check-in / check-out, at restaurants or at SPAs.</w:t>
      </w:r>
    </w:p>
    <w:p w14:paraId="24A7AA9A" w14:textId="43C5D9A2" w:rsidR="005D2232" w:rsidRDefault="0064554E" w:rsidP="0064554E">
      <w:pPr>
        <w:pStyle w:val="BodyText"/>
        <w:spacing w:before="1" w:after="1"/>
        <w:jc w:val="center"/>
        <w:rPr>
          <w:b/>
        </w:rPr>
      </w:pPr>
      <w:r w:rsidRPr="0064554E">
        <w:rPr>
          <w:b/>
        </w:rPr>
        <w:t>Skill levels (Grid 1)</w:t>
      </w:r>
    </w:p>
    <w:p w14:paraId="51366EAF" w14:textId="77777777" w:rsidR="0064554E" w:rsidRDefault="0064554E" w:rsidP="0064554E">
      <w:pPr>
        <w:pStyle w:val="BodyText"/>
        <w:spacing w:before="1" w:after="1"/>
        <w:jc w:val="center"/>
        <w:rPr>
          <w:b/>
        </w:rPr>
      </w:pPr>
    </w:p>
    <w:tbl>
      <w:tblPr>
        <w:tblW w:w="0" w:type="auto"/>
        <w:tblInd w:w="123" w:type="dxa"/>
        <w:tblLayout w:type="fixed"/>
        <w:tblCellMar>
          <w:left w:w="0" w:type="dxa"/>
          <w:right w:w="0" w:type="dxa"/>
        </w:tblCellMar>
        <w:tblLook w:val="01E0" w:firstRow="1" w:lastRow="1" w:firstColumn="1" w:lastColumn="1" w:noHBand="0" w:noVBand="0"/>
      </w:tblPr>
      <w:tblGrid>
        <w:gridCol w:w="3296"/>
        <w:gridCol w:w="6207"/>
      </w:tblGrid>
      <w:tr w:rsidR="0064554E" w14:paraId="79B9B59C" w14:textId="77777777">
        <w:trPr>
          <w:trHeight w:val="413"/>
        </w:trPr>
        <w:tc>
          <w:tcPr>
            <w:tcW w:w="3296" w:type="dxa"/>
            <w:tcBorders>
              <w:top w:val="single" w:sz="8" w:space="0" w:color="000000"/>
              <w:left w:val="single" w:sz="8" w:space="0" w:color="000000"/>
            </w:tcBorders>
          </w:tcPr>
          <w:p w14:paraId="4F48951C" w14:textId="0B172CF2" w:rsidR="0064554E" w:rsidRPr="0064554E" w:rsidRDefault="0064554E" w:rsidP="0064554E">
            <w:pPr>
              <w:pStyle w:val="TableParagraph"/>
              <w:spacing w:before="13"/>
              <w:ind w:left="575"/>
              <w:rPr>
                <w:b/>
                <w:bCs/>
              </w:rPr>
            </w:pPr>
            <w:r w:rsidRPr="0064554E">
              <w:rPr>
                <w:b/>
                <w:bCs/>
              </w:rPr>
              <w:t>STATUS</w:t>
            </w:r>
          </w:p>
        </w:tc>
        <w:tc>
          <w:tcPr>
            <w:tcW w:w="6207" w:type="dxa"/>
            <w:tcBorders>
              <w:top w:val="single" w:sz="8" w:space="0" w:color="000000"/>
              <w:right w:val="single" w:sz="8" w:space="0" w:color="000000"/>
            </w:tcBorders>
          </w:tcPr>
          <w:p w14:paraId="2E8D31BC" w14:textId="2B928187" w:rsidR="0064554E" w:rsidRPr="0064554E" w:rsidRDefault="0064554E" w:rsidP="0064554E">
            <w:pPr>
              <w:pStyle w:val="TableParagraph"/>
              <w:spacing w:before="13"/>
              <w:ind w:left="1088"/>
              <w:rPr>
                <w:b/>
                <w:bCs/>
              </w:rPr>
            </w:pPr>
            <w:r w:rsidRPr="0064554E">
              <w:rPr>
                <w:b/>
                <w:bCs/>
              </w:rPr>
              <w:t>Qualification requirements</w:t>
            </w:r>
          </w:p>
        </w:tc>
      </w:tr>
      <w:tr w:rsidR="0064554E" w14:paraId="7A274364" w14:textId="77777777">
        <w:trPr>
          <w:trHeight w:val="930"/>
        </w:trPr>
        <w:tc>
          <w:tcPr>
            <w:tcW w:w="3296" w:type="dxa"/>
            <w:tcBorders>
              <w:left w:val="single" w:sz="8" w:space="0" w:color="000000"/>
            </w:tcBorders>
          </w:tcPr>
          <w:p w14:paraId="64792A57" w14:textId="6614AB4C" w:rsidR="0064554E" w:rsidRDefault="0064554E" w:rsidP="0064554E">
            <w:pPr>
              <w:pStyle w:val="TableParagraph"/>
              <w:spacing w:before="91"/>
              <w:ind w:left="575"/>
            </w:pPr>
            <w:r w:rsidRPr="00F37881">
              <w:t>Silver Member</w:t>
            </w:r>
          </w:p>
        </w:tc>
        <w:tc>
          <w:tcPr>
            <w:tcW w:w="6207" w:type="dxa"/>
            <w:tcBorders>
              <w:right w:val="single" w:sz="8" w:space="0" w:color="000000"/>
            </w:tcBorders>
          </w:tcPr>
          <w:p w14:paraId="175A3170" w14:textId="7A028437" w:rsidR="0064554E" w:rsidRDefault="0064554E" w:rsidP="0064554E">
            <w:pPr>
              <w:pStyle w:val="TableParagraph"/>
              <w:spacing w:before="91"/>
              <w:ind w:left="1088" w:right="114"/>
            </w:pPr>
            <w:r w:rsidRPr="008913A8">
              <w:t>For a total amount spent in participating Hotels of up to 9,999 lei during a 12-month period.</w:t>
            </w:r>
          </w:p>
        </w:tc>
      </w:tr>
      <w:tr w:rsidR="0064554E" w14:paraId="31C739AE" w14:textId="77777777">
        <w:trPr>
          <w:trHeight w:val="826"/>
        </w:trPr>
        <w:tc>
          <w:tcPr>
            <w:tcW w:w="3296" w:type="dxa"/>
            <w:tcBorders>
              <w:left w:val="single" w:sz="8" w:space="0" w:color="000000"/>
            </w:tcBorders>
          </w:tcPr>
          <w:p w14:paraId="4F514BE3" w14:textId="0ECE9BC4" w:rsidR="0064554E" w:rsidRDefault="0064554E" w:rsidP="0064554E">
            <w:pPr>
              <w:pStyle w:val="TableParagraph"/>
              <w:spacing w:line="261" w:lineRule="exact"/>
              <w:ind w:left="575"/>
            </w:pPr>
            <w:r w:rsidRPr="00F37881">
              <w:t>Gold member</w:t>
            </w:r>
          </w:p>
        </w:tc>
        <w:tc>
          <w:tcPr>
            <w:tcW w:w="6207" w:type="dxa"/>
            <w:tcBorders>
              <w:right w:val="single" w:sz="8" w:space="0" w:color="000000"/>
            </w:tcBorders>
          </w:tcPr>
          <w:p w14:paraId="7CD92757" w14:textId="3AFFF72C" w:rsidR="0064554E" w:rsidRDefault="0064554E" w:rsidP="0064554E">
            <w:pPr>
              <w:pStyle w:val="TableParagraph"/>
              <w:ind w:left="1088"/>
            </w:pPr>
            <w:r w:rsidRPr="008913A8">
              <w:t>For a total amount spent in participating Hotels between 10,000 lei and 24,999 lei during a 12-month period.</w:t>
            </w:r>
          </w:p>
        </w:tc>
      </w:tr>
      <w:tr w:rsidR="0064554E" w14:paraId="015058D4" w14:textId="77777777">
        <w:trPr>
          <w:trHeight w:val="728"/>
        </w:trPr>
        <w:tc>
          <w:tcPr>
            <w:tcW w:w="3296" w:type="dxa"/>
            <w:tcBorders>
              <w:left w:val="single" w:sz="8" w:space="0" w:color="000000"/>
              <w:bottom w:val="single" w:sz="8" w:space="0" w:color="000000"/>
            </w:tcBorders>
          </w:tcPr>
          <w:p w14:paraId="42FC9277" w14:textId="044F5292" w:rsidR="0064554E" w:rsidRDefault="0064554E" w:rsidP="0064554E">
            <w:pPr>
              <w:pStyle w:val="TableParagraph"/>
              <w:spacing w:line="255" w:lineRule="exact"/>
              <w:ind w:left="575"/>
            </w:pPr>
            <w:r w:rsidRPr="00F37881">
              <w:t>Platinum Member</w:t>
            </w:r>
          </w:p>
        </w:tc>
        <w:tc>
          <w:tcPr>
            <w:tcW w:w="6207" w:type="dxa"/>
            <w:tcBorders>
              <w:bottom w:val="single" w:sz="8" w:space="0" w:color="000000"/>
              <w:right w:val="single" w:sz="8" w:space="0" w:color="000000"/>
            </w:tcBorders>
          </w:tcPr>
          <w:p w14:paraId="6E8BB94B" w14:textId="673724C4" w:rsidR="0064554E" w:rsidRDefault="0064554E" w:rsidP="0064554E">
            <w:pPr>
              <w:pStyle w:val="TableParagraph"/>
              <w:ind w:left="1088"/>
            </w:pPr>
            <w:r w:rsidRPr="008913A8">
              <w:t>For a total amount spent in participating Hotels of over 24,999 lei during a 12-month period.</w:t>
            </w:r>
          </w:p>
        </w:tc>
      </w:tr>
    </w:tbl>
    <w:p w14:paraId="026C63C2" w14:textId="77777777" w:rsidR="005D2232" w:rsidRDefault="005D2232">
      <w:pPr>
        <w:pStyle w:val="BodyText"/>
        <w:spacing w:before="10"/>
        <w:rPr>
          <w:b/>
          <w:sz w:val="21"/>
        </w:rPr>
      </w:pPr>
    </w:p>
    <w:p w14:paraId="3FFAAB37" w14:textId="68C06EBB" w:rsidR="0064554E" w:rsidRPr="0064554E" w:rsidRDefault="0064554E" w:rsidP="0064554E">
      <w:pPr>
        <w:pStyle w:val="BodyText"/>
        <w:spacing w:before="4"/>
        <w:jc w:val="center"/>
        <w:rPr>
          <w:b/>
          <w:u w:val="single"/>
        </w:rPr>
      </w:pPr>
      <w:r w:rsidRPr="0064554E">
        <w:rPr>
          <w:b/>
          <w:u w:val="single"/>
        </w:rPr>
        <w:t>Benefits (Grid 2)</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17"/>
        <w:gridCol w:w="2180"/>
        <w:gridCol w:w="2272"/>
        <w:gridCol w:w="2138"/>
      </w:tblGrid>
      <w:tr w:rsidR="005D2232" w14:paraId="5384C4F9" w14:textId="77777777" w:rsidTr="00860F00">
        <w:trPr>
          <w:trHeight w:val="380"/>
        </w:trPr>
        <w:tc>
          <w:tcPr>
            <w:tcW w:w="3017" w:type="dxa"/>
          </w:tcPr>
          <w:p w14:paraId="0B13C0BD" w14:textId="69AAB235" w:rsidR="005D2232" w:rsidRDefault="0064554E">
            <w:pPr>
              <w:pStyle w:val="TableParagraph"/>
              <w:spacing w:before="13"/>
              <w:ind w:left="292"/>
              <w:rPr>
                <w:b/>
              </w:rPr>
            </w:pPr>
            <w:r w:rsidRPr="0064554E">
              <w:rPr>
                <w:b/>
              </w:rPr>
              <w:t>Benefits / Silver</w:t>
            </w:r>
          </w:p>
        </w:tc>
        <w:tc>
          <w:tcPr>
            <w:tcW w:w="2180" w:type="dxa"/>
          </w:tcPr>
          <w:p w14:paraId="0FD5D8DF" w14:textId="77777777" w:rsidR="005D2232" w:rsidRDefault="00B316EF">
            <w:pPr>
              <w:pStyle w:val="TableParagraph"/>
              <w:spacing w:before="13"/>
              <w:ind w:right="568"/>
              <w:jc w:val="right"/>
              <w:rPr>
                <w:b/>
              </w:rPr>
            </w:pPr>
            <w:r>
              <w:rPr>
                <w:b/>
                <w:spacing w:val="-2"/>
              </w:rPr>
              <w:t>Silver</w:t>
            </w:r>
          </w:p>
        </w:tc>
        <w:tc>
          <w:tcPr>
            <w:tcW w:w="2272" w:type="dxa"/>
          </w:tcPr>
          <w:p w14:paraId="19ED9E0F" w14:textId="77777777" w:rsidR="005D2232" w:rsidRDefault="00B316EF">
            <w:pPr>
              <w:pStyle w:val="TableParagraph"/>
              <w:spacing w:before="13"/>
              <w:ind w:left="812"/>
              <w:rPr>
                <w:b/>
              </w:rPr>
            </w:pPr>
            <w:r>
              <w:rPr>
                <w:b/>
                <w:spacing w:val="-4"/>
              </w:rPr>
              <w:t>Gold</w:t>
            </w:r>
          </w:p>
        </w:tc>
        <w:tc>
          <w:tcPr>
            <w:tcW w:w="2138" w:type="dxa"/>
          </w:tcPr>
          <w:p w14:paraId="4BD55E05" w14:textId="77777777" w:rsidR="005D2232" w:rsidRDefault="00B316EF">
            <w:pPr>
              <w:pStyle w:val="TableParagraph"/>
              <w:spacing w:before="13"/>
              <w:ind w:right="567"/>
              <w:jc w:val="right"/>
              <w:rPr>
                <w:b/>
              </w:rPr>
            </w:pPr>
            <w:r>
              <w:rPr>
                <w:b/>
                <w:spacing w:val="-2"/>
              </w:rPr>
              <w:t>Platinum</w:t>
            </w:r>
          </w:p>
        </w:tc>
      </w:tr>
      <w:tr w:rsidR="0064554E" w14:paraId="292B0E33" w14:textId="77777777" w:rsidTr="00860F00">
        <w:trPr>
          <w:trHeight w:val="820"/>
        </w:trPr>
        <w:tc>
          <w:tcPr>
            <w:tcW w:w="3017" w:type="dxa"/>
          </w:tcPr>
          <w:p w14:paraId="466D6E04" w14:textId="756BE618" w:rsidR="0064554E" w:rsidRDefault="0064554E" w:rsidP="0064554E">
            <w:pPr>
              <w:pStyle w:val="TableParagraph"/>
              <w:spacing w:line="257" w:lineRule="exact"/>
              <w:ind w:left="292"/>
            </w:pPr>
            <w:r w:rsidRPr="009F3302">
              <w:t>Credit redemption (bonus) for services consumed in</w:t>
            </w:r>
          </w:p>
        </w:tc>
        <w:tc>
          <w:tcPr>
            <w:tcW w:w="2180" w:type="dxa"/>
          </w:tcPr>
          <w:p w14:paraId="6F227846" w14:textId="77777777" w:rsidR="0064554E" w:rsidRDefault="0064554E" w:rsidP="0064554E">
            <w:pPr>
              <w:pStyle w:val="TableParagraph"/>
              <w:rPr>
                <w:b/>
                <w:sz w:val="24"/>
              </w:rPr>
            </w:pPr>
          </w:p>
          <w:p w14:paraId="186D1A0E" w14:textId="77777777" w:rsidR="0064554E" w:rsidRDefault="0064554E" w:rsidP="0064554E">
            <w:pPr>
              <w:pStyle w:val="TableParagraph"/>
              <w:spacing w:before="1"/>
              <w:ind w:left="215"/>
              <w:jc w:val="center"/>
              <w:rPr>
                <w:rFonts w:ascii="Wingdings" w:hAnsi="Wingdings"/>
              </w:rPr>
            </w:pPr>
            <w:r>
              <w:rPr>
                <w:rFonts w:ascii="Wingdings" w:hAnsi="Wingdings"/>
              </w:rPr>
              <w:t></w:t>
            </w:r>
          </w:p>
        </w:tc>
        <w:tc>
          <w:tcPr>
            <w:tcW w:w="2272" w:type="dxa"/>
          </w:tcPr>
          <w:p w14:paraId="2C8D520B" w14:textId="77777777" w:rsidR="0064554E" w:rsidRDefault="0064554E" w:rsidP="0064554E">
            <w:pPr>
              <w:pStyle w:val="TableParagraph"/>
              <w:rPr>
                <w:b/>
                <w:sz w:val="24"/>
              </w:rPr>
            </w:pPr>
          </w:p>
          <w:p w14:paraId="44914A5C" w14:textId="77777777" w:rsidR="0064554E" w:rsidRDefault="0064554E" w:rsidP="0064554E">
            <w:pPr>
              <w:pStyle w:val="TableParagraph"/>
              <w:spacing w:before="1"/>
              <w:ind w:left="212"/>
              <w:jc w:val="center"/>
              <w:rPr>
                <w:rFonts w:ascii="Wingdings" w:hAnsi="Wingdings"/>
              </w:rPr>
            </w:pPr>
            <w:r>
              <w:rPr>
                <w:rFonts w:ascii="Wingdings" w:hAnsi="Wingdings"/>
              </w:rPr>
              <w:t></w:t>
            </w:r>
          </w:p>
        </w:tc>
        <w:tc>
          <w:tcPr>
            <w:tcW w:w="2138" w:type="dxa"/>
          </w:tcPr>
          <w:p w14:paraId="14DE8783" w14:textId="77777777" w:rsidR="0064554E" w:rsidRDefault="0064554E" w:rsidP="0064554E">
            <w:pPr>
              <w:pStyle w:val="TableParagraph"/>
              <w:rPr>
                <w:b/>
                <w:sz w:val="24"/>
              </w:rPr>
            </w:pPr>
          </w:p>
          <w:p w14:paraId="38016922" w14:textId="77777777" w:rsidR="0064554E" w:rsidRDefault="0064554E" w:rsidP="0064554E">
            <w:pPr>
              <w:pStyle w:val="TableParagraph"/>
              <w:spacing w:before="1"/>
              <w:ind w:left="211"/>
              <w:jc w:val="center"/>
              <w:rPr>
                <w:rFonts w:ascii="Wingdings" w:hAnsi="Wingdings"/>
              </w:rPr>
            </w:pPr>
            <w:r>
              <w:rPr>
                <w:rFonts w:ascii="Wingdings" w:hAnsi="Wingdings"/>
              </w:rPr>
              <w:t></w:t>
            </w:r>
          </w:p>
        </w:tc>
      </w:tr>
      <w:tr w:rsidR="0064554E" w14:paraId="6F8F69E2" w14:textId="77777777" w:rsidTr="00860F00">
        <w:trPr>
          <w:trHeight w:val="1577"/>
        </w:trPr>
        <w:tc>
          <w:tcPr>
            <w:tcW w:w="3017" w:type="dxa"/>
          </w:tcPr>
          <w:p w14:paraId="13F4C051" w14:textId="77777777" w:rsidR="00860F00" w:rsidRDefault="00860F00" w:rsidP="00860F00">
            <w:pPr>
              <w:pStyle w:val="TableParagraph"/>
              <w:spacing w:before="1"/>
              <w:ind w:left="292"/>
            </w:pPr>
            <w:r>
              <w:t>Bonus Value (% of the amount</w:t>
            </w:r>
          </w:p>
          <w:p w14:paraId="2F82A716" w14:textId="77777777" w:rsidR="00860F00" w:rsidRDefault="00860F00" w:rsidP="00860F00">
            <w:pPr>
              <w:pStyle w:val="TableParagraph"/>
              <w:spacing w:before="1"/>
              <w:ind w:left="292"/>
            </w:pPr>
            <w:r>
              <w:t>spent, only in case of payment</w:t>
            </w:r>
          </w:p>
          <w:p w14:paraId="0E14E04C" w14:textId="4250D1A8" w:rsidR="0064554E" w:rsidRDefault="00860F00" w:rsidP="00860F00">
            <w:pPr>
              <w:pStyle w:val="TableParagraph"/>
              <w:spacing w:before="1"/>
              <w:ind w:left="292"/>
            </w:pPr>
            <w:r>
              <w:t>directly at the hotel, by the program member, by cash, PO or card)</w:t>
            </w:r>
          </w:p>
        </w:tc>
        <w:tc>
          <w:tcPr>
            <w:tcW w:w="2180" w:type="dxa"/>
          </w:tcPr>
          <w:p w14:paraId="38AD945B" w14:textId="77777777" w:rsidR="0064554E" w:rsidRPr="0064554E" w:rsidRDefault="0064554E" w:rsidP="0064554E">
            <w:pPr>
              <w:pStyle w:val="TableParagraph"/>
              <w:spacing w:before="13"/>
              <w:ind w:left="119"/>
              <w:rPr>
                <w:bCs/>
                <w:iCs/>
                <w:sz w:val="18"/>
                <w:szCs w:val="18"/>
              </w:rPr>
            </w:pPr>
            <w:r w:rsidRPr="0064554E">
              <w:rPr>
                <w:bCs/>
                <w:iCs/>
                <w:sz w:val="18"/>
                <w:szCs w:val="18"/>
              </w:rPr>
              <w:t>3% on Accommodation (*)</w:t>
            </w:r>
          </w:p>
          <w:p w14:paraId="76212E50" w14:textId="77777777" w:rsidR="0064554E" w:rsidRPr="0064554E" w:rsidRDefault="0064554E" w:rsidP="0064554E">
            <w:pPr>
              <w:pStyle w:val="TableParagraph"/>
              <w:spacing w:before="13"/>
              <w:ind w:left="119"/>
              <w:rPr>
                <w:bCs/>
                <w:iCs/>
                <w:sz w:val="18"/>
                <w:szCs w:val="18"/>
              </w:rPr>
            </w:pPr>
            <w:r w:rsidRPr="0064554E">
              <w:rPr>
                <w:bCs/>
                <w:iCs/>
                <w:sz w:val="18"/>
                <w:szCs w:val="18"/>
              </w:rPr>
              <w:t>5% at Restaurants / Bars (*)</w:t>
            </w:r>
          </w:p>
          <w:p w14:paraId="71FAA94C" w14:textId="77777777" w:rsidR="0064554E" w:rsidRPr="0064554E" w:rsidRDefault="0064554E" w:rsidP="0064554E">
            <w:pPr>
              <w:pStyle w:val="TableParagraph"/>
              <w:spacing w:before="13"/>
              <w:ind w:left="119"/>
              <w:rPr>
                <w:bCs/>
                <w:iCs/>
                <w:sz w:val="18"/>
                <w:szCs w:val="18"/>
              </w:rPr>
            </w:pPr>
            <w:r w:rsidRPr="0064554E">
              <w:rPr>
                <w:bCs/>
                <w:iCs/>
                <w:sz w:val="18"/>
                <w:szCs w:val="18"/>
              </w:rPr>
              <w:t>5% at the SPA</w:t>
            </w:r>
          </w:p>
          <w:p w14:paraId="383DBABA" w14:textId="77777777" w:rsidR="0064554E" w:rsidRPr="0064554E" w:rsidRDefault="0064554E" w:rsidP="0064554E">
            <w:pPr>
              <w:pStyle w:val="TableParagraph"/>
              <w:spacing w:before="13"/>
              <w:ind w:left="119"/>
              <w:rPr>
                <w:bCs/>
                <w:iCs/>
                <w:sz w:val="18"/>
                <w:szCs w:val="18"/>
              </w:rPr>
            </w:pPr>
            <w:r w:rsidRPr="0064554E">
              <w:rPr>
                <w:bCs/>
                <w:iCs/>
                <w:sz w:val="18"/>
                <w:szCs w:val="18"/>
              </w:rPr>
              <w:t>10% at Restaurants</w:t>
            </w:r>
          </w:p>
          <w:p w14:paraId="56D5A6B5" w14:textId="33313DA0" w:rsidR="0064554E" w:rsidRPr="0064554E" w:rsidRDefault="0064554E" w:rsidP="0064554E">
            <w:pPr>
              <w:pStyle w:val="TableParagraph"/>
              <w:spacing w:before="2" w:line="237" w:lineRule="auto"/>
              <w:ind w:left="119" w:right="63"/>
              <w:rPr>
                <w:sz w:val="18"/>
                <w:szCs w:val="18"/>
              </w:rPr>
            </w:pPr>
            <w:r w:rsidRPr="0064554E">
              <w:rPr>
                <w:bCs/>
                <w:iCs/>
                <w:sz w:val="18"/>
                <w:szCs w:val="18"/>
              </w:rPr>
              <w:t>/ Crowne Plaza Bars</w:t>
            </w:r>
          </w:p>
        </w:tc>
        <w:tc>
          <w:tcPr>
            <w:tcW w:w="2272" w:type="dxa"/>
          </w:tcPr>
          <w:p w14:paraId="4AB38707" w14:textId="77777777" w:rsidR="0064554E" w:rsidRPr="0064554E" w:rsidRDefault="0064554E" w:rsidP="0064554E">
            <w:pPr>
              <w:pStyle w:val="TableParagraph"/>
              <w:spacing w:before="13"/>
              <w:ind w:left="119"/>
              <w:rPr>
                <w:bCs/>
                <w:iCs/>
                <w:sz w:val="18"/>
                <w:szCs w:val="18"/>
              </w:rPr>
            </w:pPr>
            <w:r w:rsidRPr="0064554E">
              <w:rPr>
                <w:bCs/>
                <w:iCs/>
                <w:sz w:val="18"/>
                <w:szCs w:val="18"/>
              </w:rPr>
              <w:t>8% on Accommodation (*)</w:t>
            </w:r>
          </w:p>
          <w:p w14:paraId="644FEEAF" w14:textId="77777777" w:rsidR="0064554E" w:rsidRPr="0064554E" w:rsidRDefault="0064554E" w:rsidP="0064554E">
            <w:pPr>
              <w:pStyle w:val="TableParagraph"/>
              <w:spacing w:before="13"/>
              <w:ind w:left="119"/>
              <w:rPr>
                <w:bCs/>
                <w:iCs/>
                <w:sz w:val="18"/>
                <w:szCs w:val="18"/>
              </w:rPr>
            </w:pPr>
            <w:r w:rsidRPr="0064554E">
              <w:rPr>
                <w:bCs/>
                <w:iCs/>
                <w:sz w:val="18"/>
                <w:szCs w:val="18"/>
              </w:rPr>
              <w:t>10% at Restaurants</w:t>
            </w:r>
          </w:p>
          <w:p w14:paraId="698492ED" w14:textId="77777777" w:rsidR="0064554E" w:rsidRPr="0064554E" w:rsidRDefault="0064554E" w:rsidP="0064554E">
            <w:pPr>
              <w:pStyle w:val="TableParagraph"/>
              <w:spacing w:before="13"/>
              <w:ind w:left="119"/>
              <w:rPr>
                <w:bCs/>
                <w:iCs/>
                <w:sz w:val="18"/>
                <w:szCs w:val="18"/>
              </w:rPr>
            </w:pPr>
            <w:r w:rsidRPr="0064554E">
              <w:rPr>
                <w:bCs/>
                <w:iCs/>
                <w:sz w:val="18"/>
                <w:szCs w:val="18"/>
              </w:rPr>
              <w:t>/ Bars (*)</w:t>
            </w:r>
          </w:p>
          <w:p w14:paraId="1E0588C2" w14:textId="77777777" w:rsidR="0064554E" w:rsidRPr="0064554E" w:rsidRDefault="0064554E" w:rsidP="0064554E">
            <w:pPr>
              <w:pStyle w:val="TableParagraph"/>
              <w:spacing w:before="13"/>
              <w:ind w:left="119"/>
              <w:rPr>
                <w:bCs/>
                <w:iCs/>
                <w:sz w:val="18"/>
                <w:szCs w:val="18"/>
              </w:rPr>
            </w:pPr>
            <w:r w:rsidRPr="0064554E">
              <w:rPr>
                <w:bCs/>
                <w:iCs/>
                <w:sz w:val="18"/>
                <w:szCs w:val="18"/>
              </w:rPr>
              <w:t>10% at the SPA</w:t>
            </w:r>
          </w:p>
          <w:p w14:paraId="555C3B37" w14:textId="77777777" w:rsidR="0064554E" w:rsidRPr="0064554E" w:rsidRDefault="0064554E" w:rsidP="0064554E">
            <w:pPr>
              <w:pStyle w:val="TableParagraph"/>
              <w:spacing w:before="13"/>
              <w:ind w:left="119"/>
              <w:rPr>
                <w:bCs/>
                <w:iCs/>
                <w:sz w:val="18"/>
                <w:szCs w:val="18"/>
              </w:rPr>
            </w:pPr>
            <w:r w:rsidRPr="0064554E">
              <w:rPr>
                <w:bCs/>
                <w:iCs/>
                <w:sz w:val="18"/>
                <w:szCs w:val="18"/>
              </w:rPr>
              <w:t>10% at Restaurants</w:t>
            </w:r>
          </w:p>
          <w:p w14:paraId="14883CD0" w14:textId="4E58846C" w:rsidR="0064554E" w:rsidRPr="0064554E" w:rsidRDefault="0064554E" w:rsidP="0064554E">
            <w:pPr>
              <w:pStyle w:val="TableParagraph"/>
              <w:ind w:left="119" w:right="66"/>
              <w:rPr>
                <w:bCs/>
                <w:iCs/>
                <w:sz w:val="18"/>
                <w:szCs w:val="18"/>
              </w:rPr>
            </w:pPr>
            <w:r w:rsidRPr="0064554E">
              <w:rPr>
                <w:bCs/>
                <w:iCs/>
                <w:sz w:val="18"/>
                <w:szCs w:val="18"/>
              </w:rPr>
              <w:t>/ Crowne Plaza Bars</w:t>
            </w:r>
          </w:p>
        </w:tc>
        <w:tc>
          <w:tcPr>
            <w:tcW w:w="2138" w:type="dxa"/>
          </w:tcPr>
          <w:p w14:paraId="1823B23A" w14:textId="77777777" w:rsidR="0064554E" w:rsidRPr="0064554E" w:rsidRDefault="0064554E" w:rsidP="0064554E">
            <w:pPr>
              <w:pStyle w:val="TableParagraph"/>
              <w:spacing w:before="13"/>
              <w:ind w:left="118"/>
              <w:rPr>
                <w:bCs/>
                <w:iCs/>
                <w:sz w:val="18"/>
                <w:szCs w:val="18"/>
              </w:rPr>
            </w:pPr>
            <w:r w:rsidRPr="0064554E">
              <w:rPr>
                <w:bCs/>
                <w:iCs/>
                <w:sz w:val="18"/>
                <w:szCs w:val="18"/>
              </w:rPr>
              <w:t>9% on Accommodation (*)</w:t>
            </w:r>
          </w:p>
          <w:p w14:paraId="2C79294C" w14:textId="77777777" w:rsidR="0064554E" w:rsidRPr="0064554E" w:rsidRDefault="0064554E" w:rsidP="0064554E">
            <w:pPr>
              <w:pStyle w:val="TableParagraph"/>
              <w:spacing w:before="13"/>
              <w:ind w:left="118"/>
              <w:rPr>
                <w:bCs/>
                <w:iCs/>
                <w:sz w:val="18"/>
                <w:szCs w:val="18"/>
              </w:rPr>
            </w:pPr>
            <w:r w:rsidRPr="0064554E">
              <w:rPr>
                <w:bCs/>
                <w:iCs/>
                <w:sz w:val="18"/>
                <w:szCs w:val="18"/>
              </w:rPr>
              <w:t>11% at Restaurants</w:t>
            </w:r>
          </w:p>
          <w:p w14:paraId="3F32145D" w14:textId="77777777" w:rsidR="0064554E" w:rsidRPr="0064554E" w:rsidRDefault="0064554E" w:rsidP="0064554E">
            <w:pPr>
              <w:pStyle w:val="TableParagraph"/>
              <w:spacing w:before="13"/>
              <w:ind w:left="118"/>
              <w:rPr>
                <w:bCs/>
                <w:iCs/>
                <w:sz w:val="18"/>
                <w:szCs w:val="18"/>
              </w:rPr>
            </w:pPr>
            <w:r w:rsidRPr="0064554E">
              <w:rPr>
                <w:bCs/>
                <w:iCs/>
                <w:sz w:val="18"/>
                <w:szCs w:val="18"/>
              </w:rPr>
              <w:t>/ Bars (*)</w:t>
            </w:r>
          </w:p>
          <w:p w14:paraId="7F43FFC2" w14:textId="77777777" w:rsidR="0064554E" w:rsidRPr="0064554E" w:rsidRDefault="0064554E" w:rsidP="0064554E">
            <w:pPr>
              <w:pStyle w:val="TableParagraph"/>
              <w:spacing w:before="13"/>
              <w:ind w:left="118"/>
              <w:rPr>
                <w:bCs/>
                <w:iCs/>
                <w:sz w:val="18"/>
                <w:szCs w:val="18"/>
              </w:rPr>
            </w:pPr>
            <w:r w:rsidRPr="0064554E">
              <w:rPr>
                <w:bCs/>
                <w:iCs/>
                <w:sz w:val="18"/>
                <w:szCs w:val="18"/>
              </w:rPr>
              <w:t>11% at the SPA</w:t>
            </w:r>
          </w:p>
          <w:p w14:paraId="6EB7BCB8" w14:textId="77777777" w:rsidR="0064554E" w:rsidRPr="0064554E" w:rsidRDefault="0064554E" w:rsidP="0064554E">
            <w:pPr>
              <w:pStyle w:val="TableParagraph"/>
              <w:spacing w:before="13"/>
              <w:ind w:left="118"/>
              <w:rPr>
                <w:bCs/>
                <w:iCs/>
                <w:sz w:val="18"/>
                <w:szCs w:val="18"/>
              </w:rPr>
            </w:pPr>
            <w:r w:rsidRPr="0064554E">
              <w:rPr>
                <w:bCs/>
                <w:iCs/>
                <w:sz w:val="18"/>
                <w:szCs w:val="18"/>
              </w:rPr>
              <w:t>11% at Restaurants</w:t>
            </w:r>
          </w:p>
          <w:p w14:paraId="77360CA1" w14:textId="19CFD9CE" w:rsidR="0064554E" w:rsidRPr="0064554E" w:rsidRDefault="0064554E" w:rsidP="0064554E">
            <w:pPr>
              <w:pStyle w:val="TableParagraph"/>
              <w:ind w:left="118" w:right="66"/>
              <w:rPr>
                <w:bCs/>
                <w:iCs/>
                <w:sz w:val="18"/>
                <w:szCs w:val="18"/>
              </w:rPr>
            </w:pPr>
            <w:r w:rsidRPr="0064554E">
              <w:rPr>
                <w:bCs/>
                <w:iCs/>
                <w:sz w:val="18"/>
                <w:szCs w:val="18"/>
              </w:rPr>
              <w:t>/ Crowne Plaza Bars</w:t>
            </w:r>
          </w:p>
        </w:tc>
      </w:tr>
      <w:tr w:rsidR="0064554E" w14:paraId="2B618199" w14:textId="77777777" w:rsidTr="00860F00">
        <w:trPr>
          <w:trHeight w:val="551"/>
        </w:trPr>
        <w:tc>
          <w:tcPr>
            <w:tcW w:w="3017" w:type="dxa"/>
          </w:tcPr>
          <w:p w14:paraId="6BDDE46E" w14:textId="3E304311" w:rsidR="0064554E" w:rsidRDefault="00EF427A" w:rsidP="0064554E">
            <w:pPr>
              <w:pStyle w:val="TableParagraph"/>
              <w:spacing w:before="3" w:line="264" w:lineRule="exact"/>
              <w:ind w:left="292"/>
            </w:pPr>
            <w:r w:rsidRPr="00EF427A">
              <w:t>Bonus validity from the last transaction</w:t>
            </w:r>
          </w:p>
        </w:tc>
        <w:tc>
          <w:tcPr>
            <w:tcW w:w="2180" w:type="dxa"/>
          </w:tcPr>
          <w:p w14:paraId="3A914E5E" w14:textId="32980026" w:rsidR="0064554E" w:rsidRDefault="0064554E" w:rsidP="0064554E">
            <w:pPr>
              <w:pStyle w:val="TableParagraph"/>
              <w:spacing w:before="147"/>
              <w:ind w:right="557"/>
              <w:jc w:val="right"/>
            </w:pPr>
            <w:r>
              <w:t xml:space="preserve">12 </w:t>
            </w:r>
            <w:r>
              <w:rPr>
                <w:spacing w:val="-4"/>
              </w:rPr>
              <w:t>month</w:t>
            </w:r>
          </w:p>
        </w:tc>
        <w:tc>
          <w:tcPr>
            <w:tcW w:w="2272" w:type="dxa"/>
          </w:tcPr>
          <w:p w14:paraId="7378301B" w14:textId="3ABB9BEF" w:rsidR="0064554E" w:rsidRDefault="0064554E" w:rsidP="0064554E">
            <w:pPr>
              <w:pStyle w:val="TableParagraph"/>
              <w:spacing w:before="147"/>
              <w:ind w:left="839"/>
            </w:pPr>
            <w:r>
              <w:t xml:space="preserve">18 </w:t>
            </w:r>
            <w:r>
              <w:rPr>
                <w:spacing w:val="-4"/>
              </w:rPr>
              <w:t>month</w:t>
            </w:r>
          </w:p>
        </w:tc>
        <w:tc>
          <w:tcPr>
            <w:tcW w:w="2138" w:type="dxa"/>
          </w:tcPr>
          <w:p w14:paraId="64DA7258" w14:textId="5C3FA1D0" w:rsidR="0064554E" w:rsidRDefault="0064554E" w:rsidP="0064554E">
            <w:pPr>
              <w:pStyle w:val="TableParagraph"/>
              <w:spacing w:before="147"/>
              <w:ind w:right="557"/>
              <w:jc w:val="right"/>
            </w:pPr>
            <w:r>
              <w:t xml:space="preserve">24 </w:t>
            </w:r>
            <w:r>
              <w:rPr>
                <w:spacing w:val="-4"/>
              </w:rPr>
              <w:t>month</w:t>
            </w:r>
          </w:p>
        </w:tc>
      </w:tr>
      <w:tr w:rsidR="0064554E" w14:paraId="69C35672" w14:textId="77777777" w:rsidTr="00860F00">
        <w:trPr>
          <w:trHeight w:val="506"/>
        </w:trPr>
        <w:tc>
          <w:tcPr>
            <w:tcW w:w="3017" w:type="dxa"/>
          </w:tcPr>
          <w:p w14:paraId="1C8C056A" w14:textId="3D8ADB77" w:rsidR="0064554E" w:rsidRDefault="0064554E" w:rsidP="0064554E">
            <w:pPr>
              <w:pStyle w:val="TableParagraph"/>
              <w:spacing w:line="270" w:lineRule="atLeast"/>
              <w:ind w:left="292"/>
            </w:pPr>
            <w:r w:rsidRPr="009F3302">
              <w:t>Early Check in (11:00 a.m.) (*)</w:t>
            </w:r>
          </w:p>
        </w:tc>
        <w:tc>
          <w:tcPr>
            <w:tcW w:w="2180" w:type="dxa"/>
          </w:tcPr>
          <w:p w14:paraId="42B86A21" w14:textId="77777777" w:rsidR="0064554E" w:rsidRDefault="0064554E" w:rsidP="0064554E">
            <w:pPr>
              <w:pStyle w:val="TableParagraph"/>
              <w:rPr>
                <w:rFonts w:ascii="Times New Roman"/>
              </w:rPr>
            </w:pPr>
          </w:p>
        </w:tc>
        <w:tc>
          <w:tcPr>
            <w:tcW w:w="2272" w:type="dxa"/>
          </w:tcPr>
          <w:p w14:paraId="37CC5DCA" w14:textId="77777777" w:rsidR="0064554E" w:rsidRDefault="0064554E" w:rsidP="0064554E">
            <w:pPr>
              <w:pStyle w:val="TableParagraph"/>
              <w:spacing w:before="3"/>
              <w:rPr>
                <w:b/>
                <w:sz w:val="24"/>
              </w:rPr>
            </w:pPr>
          </w:p>
          <w:p w14:paraId="3636D424" w14:textId="77777777" w:rsidR="0064554E" w:rsidRDefault="0064554E" w:rsidP="0064554E">
            <w:pPr>
              <w:pStyle w:val="TableParagraph"/>
              <w:ind w:left="212"/>
              <w:jc w:val="center"/>
              <w:rPr>
                <w:rFonts w:ascii="Wingdings" w:hAnsi="Wingdings"/>
              </w:rPr>
            </w:pPr>
            <w:r>
              <w:rPr>
                <w:rFonts w:ascii="Wingdings" w:hAnsi="Wingdings"/>
              </w:rPr>
              <w:t></w:t>
            </w:r>
          </w:p>
        </w:tc>
        <w:tc>
          <w:tcPr>
            <w:tcW w:w="2138" w:type="dxa"/>
          </w:tcPr>
          <w:p w14:paraId="70754709" w14:textId="77777777" w:rsidR="0064554E" w:rsidRDefault="0064554E" w:rsidP="0064554E">
            <w:pPr>
              <w:pStyle w:val="TableParagraph"/>
              <w:spacing w:before="3"/>
              <w:rPr>
                <w:b/>
                <w:sz w:val="24"/>
              </w:rPr>
            </w:pPr>
          </w:p>
          <w:p w14:paraId="5E331BEE" w14:textId="77777777" w:rsidR="0064554E" w:rsidRDefault="0064554E" w:rsidP="0064554E">
            <w:pPr>
              <w:pStyle w:val="TableParagraph"/>
              <w:ind w:left="211"/>
              <w:jc w:val="center"/>
              <w:rPr>
                <w:rFonts w:ascii="Wingdings" w:hAnsi="Wingdings"/>
              </w:rPr>
            </w:pPr>
            <w:r>
              <w:rPr>
                <w:rFonts w:ascii="Wingdings" w:hAnsi="Wingdings"/>
              </w:rPr>
              <w:t></w:t>
            </w:r>
          </w:p>
        </w:tc>
      </w:tr>
      <w:tr w:rsidR="0064554E" w14:paraId="19BD247F" w14:textId="77777777" w:rsidTr="00860F00">
        <w:trPr>
          <w:trHeight w:val="479"/>
        </w:trPr>
        <w:tc>
          <w:tcPr>
            <w:tcW w:w="3017" w:type="dxa"/>
          </w:tcPr>
          <w:p w14:paraId="53B12CBD" w14:textId="3F5C9945" w:rsidR="0064554E" w:rsidRDefault="0064554E" w:rsidP="0064554E">
            <w:pPr>
              <w:pStyle w:val="TableParagraph"/>
              <w:spacing w:line="270" w:lineRule="atLeast"/>
              <w:ind w:left="292"/>
            </w:pPr>
            <w:r w:rsidRPr="009F3302">
              <w:t>Greener Stay (**)</w:t>
            </w:r>
          </w:p>
        </w:tc>
        <w:tc>
          <w:tcPr>
            <w:tcW w:w="2180" w:type="dxa"/>
          </w:tcPr>
          <w:p w14:paraId="4F0E2C9F" w14:textId="00AB1DA4" w:rsidR="0064554E" w:rsidRDefault="00EF427A" w:rsidP="00EF427A">
            <w:pPr>
              <w:pStyle w:val="TableParagraph"/>
              <w:jc w:val="center"/>
              <w:rPr>
                <w:rFonts w:ascii="Times New Roman"/>
              </w:rPr>
            </w:pPr>
            <w:r>
              <w:rPr>
                <w:rFonts w:ascii="Wingdings" w:hAnsi="Wingdings"/>
              </w:rPr>
              <w:t></w:t>
            </w:r>
          </w:p>
        </w:tc>
        <w:tc>
          <w:tcPr>
            <w:tcW w:w="2272" w:type="dxa"/>
          </w:tcPr>
          <w:p w14:paraId="6DD2A10E" w14:textId="3F9CBEF8" w:rsidR="0064554E" w:rsidRDefault="00EF427A" w:rsidP="00EF427A">
            <w:pPr>
              <w:pStyle w:val="TableParagraph"/>
              <w:jc w:val="center"/>
              <w:rPr>
                <w:rFonts w:ascii="Times New Roman"/>
              </w:rPr>
            </w:pPr>
            <w:r>
              <w:rPr>
                <w:rFonts w:ascii="Wingdings" w:hAnsi="Wingdings"/>
              </w:rPr>
              <w:t></w:t>
            </w:r>
          </w:p>
        </w:tc>
        <w:tc>
          <w:tcPr>
            <w:tcW w:w="2138" w:type="dxa"/>
          </w:tcPr>
          <w:p w14:paraId="4479995C" w14:textId="77777777" w:rsidR="0064554E" w:rsidRDefault="0064554E" w:rsidP="0064554E">
            <w:pPr>
              <w:pStyle w:val="TableParagraph"/>
              <w:spacing w:before="3"/>
              <w:rPr>
                <w:b/>
                <w:sz w:val="24"/>
              </w:rPr>
            </w:pPr>
          </w:p>
          <w:p w14:paraId="07FD4142" w14:textId="77777777" w:rsidR="0064554E" w:rsidRDefault="0064554E" w:rsidP="0064554E">
            <w:pPr>
              <w:pStyle w:val="TableParagraph"/>
              <w:ind w:left="211"/>
              <w:jc w:val="center"/>
              <w:rPr>
                <w:rFonts w:ascii="Wingdings" w:hAnsi="Wingdings"/>
              </w:rPr>
            </w:pPr>
            <w:r>
              <w:rPr>
                <w:rFonts w:ascii="Wingdings" w:hAnsi="Wingdings"/>
              </w:rPr>
              <w:t></w:t>
            </w:r>
          </w:p>
        </w:tc>
      </w:tr>
      <w:tr w:rsidR="0064554E" w14:paraId="01CD0954" w14:textId="77777777" w:rsidTr="00860F00">
        <w:trPr>
          <w:trHeight w:val="553"/>
        </w:trPr>
        <w:tc>
          <w:tcPr>
            <w:tcW w:w="3017" w:type="dxa"/>
          </w:tcPr>
          <w:p w14:paraId="082DD35D" w14:textId="26E98C84" w:rsidR="0064554E" w:rsidRDefault="0064554E" w:rsidP="0064554E">
            <w:pPr>
              <w:pStyle w:val="TableParagraph"/>
              <w:spacing w:before="28" w:line="252" w:lineRule="exact"/>
              <w:ind w:left="292"/>
            </w:pPr>
            <w:r w:rsidRPr="009F3302">
              <w:t>Late check-out until 16:00 (on request) (*)</w:t>
            </w:r>
          </w:p>
        </w:tc>
        <w:tc>
          <w:tcPr>
            <w:tcW w:w="2180" w:type="dxa"/>
          </w:tcPr>
          <w:p w14:paraId="6112453D" w14:textId="77777777" w:rsidR="0064554E" w:rsidRDefault="0064554E" w:rsidP="0064554E">
            <w:pPr>
              <w:pStyle w:val="TableParagraph"/>
              <w:rPr>
                <w:rFonts w:ascii="Times New Roman"/>
              </w:rPr>
            </w:pPr>
          </w:p>
        </w:tc>
        <w:tc>
          <w:tcPr>
            <w:tcW w:w="2272" w:type="dxa"/>
          </w:tcPr>
          <w:p w14:paraId="14F726AE" w14:textId="2393A299" w:rsidR="0064554E" w:rsidRDefault="00EF427A" w:rsidP="00EF427A">
            <w:pPr>
              <w:pStyle w:val="TableParagraph"/>
              <w:jc w:val="center"/>
              <w:rPr>
                <w:rFonts w:ascii="Times New Roman"/>
              </w:rPr>
            </w:pPr>
            <w:r>
              <w:rPr>
                <w:rFonts w:ascii="Wingdings" w:hAnsi="Wingdings"/>
              </w:rPr>
              <w:t></w:t>
            </w:r>
          </w:p>
        </w:tc>
        <w:tc>
          <w:tcPr>
            <w:tcW w:w="2138" w:type="dxa"/>
          </w:tcPr>
          <w:p w14:paraId="68939BCD" w14:textId="77777777" w:rsidR="0064554E" w:rsidRDefault="0064554E" w:rsidP="0064554E">
            <w:pPr>
              <w:pStyle w:val="TableParagraph"/>
              <w:spacing w:before="161"/>
              <w:ind w:left="211"/>
              <w:jc w:val="center"/>
              <w:rPr>
                <w:rFonts w:ascii="Wingdings" w:hAnsi="Wingdings"/>
              </w:rPr>
            </w:pPr>
            <w:r>
              <w:rPr>
                <w:rFonts w:ascii="Wingdings" w:hAnsi="Wingdings"/>
              </w:rPr>
              <w:t></w:t>
            </w:r>
          </w:p>
        </w:tc>
      </w:tr>
      <w:tr w:rsidR="00860F00" w14:paraId="68525701" w14:textId="77777777" w:rsidTr="00860F00">
        <w:trPr>
          <w:trHeight w:val="553"/>
        </w:trPr>
        <w:tc>
          <w:tcPr>
            <w:tcW w:w="3017" w:type="dxa"/>
          </w:tcPr>
          <w:p w14:paraId="53288589" w14:textId="39EAFA63" w:rsidR="00860F00" w:rsidRPr="009F3302" w:rsidRDefault="00860F00" w:rsidP="00860F00">
            <w:pPr>
              <w:pStyle w:val="TableParagraph"/>
              <w:spacing w:before="28" w:line="252" w:lineRule="exact"/>
              <w:ind w:left="292"/>
            </w:pPr>
            <w:r>
              <w:t>Free upgrade to the following type room (subject to availability) (*)</w:t>
            </w:r>
          </w:p>
        </w:tc>
        <w:tc>
          <w:tcPr>
            <w:tcW w:w="2180" w:type="dxa"/>
          </w:tcPr>
          <w:p w14:paraId="5497AC17" w14:textId="77777777" w:rsidR="00860F00" w:rsidRDefault="00860F00" w:rsidP="0064554E">
            <w:pPr>
              <w:pStyle w:val="TableParagraph"/>
              <w:rPr>
                <w:rFonts w:ascii="Times New Roman"/>
              </w:rPr>
            </w:pPr>
          </w:p>
        </w:tc>
        <w:tc>
          <w:tcPr>
            <w:tcW w:w="2272" w:type="dxa"/>
          </w:tcPr>
          <w:p w14:paraId="69DF2880" w14:textId="77777777" w:rsidR="00860F00" w:rsidRDefault="00860F00" w:rsidP="00860F00">
            <w:pPr>
              <w:pStyle w:val="TableParagraph"/>
              <w:jc w:val="center"/>
              <w:rPr>
                <w:rFonts w:ascii="Wingdings" w:hAnsi="Wingdings"/>
              </w:rPr>
            </w:pPr>
          </w:p>
          <w:p w14:paraId="59B1C798" w14:textId="0A6F460D" w:rsidR="00860F00" w:rsidRDefault="00860F00" w:rsidP="00860F00">
            <w:pPr>
              <w:pStyle w:val="TableParagraph"/>
              <w:jc w:val="center"/>
              <w:rPr>
                <w:rFonts w:ascii="Times New Roman"/>
              </w:rPr>
            </w:pPr>
            <w:r>
              <w:rPr>
                <w:rFonts w:ascii="Wingdings" w:hAnsi="Wingdings"/>
              </w:rPr>
              <w:t></w:t>
            </w:r>
          </w:p>
        </w:tc>
        <w:tc>
          <w:tcPr>
            <w:tcW w:w="2138" w:type="dxa"/>
          </w:tcPr>
          <w:p w14:paraId="1442F8E0" w14:textId="0C71F276" w:rsidR="00860F00" w:rsidRDefault="00860F00" w:rsidP="00860F00">
            <w:pPr>
              <w:pStyle w:val="TableParagraph"/>
              <w:spacing w:before="161"/>
              <w:ind w:left="211"/>
              <w:jc w:val="center"/>
              <w:rPr>
                <w:rFonts w:ascii="Wingdings" w:hAnsi="Wingdings"/>
              </w:rPr>
            </w:pPr>
            <w:r>
              <w:rPr>
                <w:rFonts w:ascii="Wingdings" w:hAnsi="Wingdings"/>
              </w:rPr>
              <w:t></w:t>
            </w:r>
          </w:p>
        </w:tc>
      </w:tr>
      <w:tr w:rsidR="00860F00" w14:paraId="5ACA2B38" w14:textId="77777777" w:rsidTr="00860F00">
        <w:trPr>
          <w:trHeight w:val="553"/>
        </w:trPr>
        <w:tc>
          <w:tcPr>
            <w:tcW w:w="3017" w:type="dxa"/>
          </w:tcPr>
          <w:p w14:paraId="6EC2589C" w14:textId="77777777" w:rsidR="00860F00" w:rsidRDefault="00860F00" w:rsidP="00860F00">
            <w:pPr>
              <w:pStyle w:val="TableParagraph"/>
              <w:spacing w:before="28" w:line="252" w:lineRule="exact"/>
              <w:ind w:left="292"/>
            </w:pPr>
            <w:r>
              <w:t>Guaranteed availability at</w:t>
            </w:r>
          </w:p>
          <w:p w14:paraId="54D55FF0" w14:textId="30CE3F7A" w:rsidR="00860F00" w:rsidRPr="009F3302" w:rsidRDefault="00860F00" w:rsidP="00860F00">
            <w:pPr>
              <w:pStyle w:val="TableParagraph"/>
              <w:spacing w:before="28" w:line="252" w:lineRule="exact"/>
              <w:ind w:left="292"/>
            </w:pPr>
            <w:r>
              <w:t>Check-in up to 48h before arrival date (*)</w:t>
            </w:r>
          </w:p>
        </w:tc>
        <w:tc>
          <w:tcPr>
            <w:tcW w:w="2180" w:type="dxa"/>
          </w:tcPr>
          <w:p w14:paraId="18CE6124" w14:textId="77777777" w:rsidR="00860F00" w:rsidRDefault="00860F00" w:rsidP="0064554E">
            <w:pPr>
              <w:pStyle w:val="TableParagraph"/>
              <w:rPr>
                <w:rFonts w:ascii="Times New Roman"/>
              </w:rPr>
            </w:pPr>
          </w:p>
        </w:tc>
        <w:tc>
          <w:tcPr>
            <w:tcW w:w="2272" w:type="dxa"/>
          </w:tcPr>
          <w:p w14:paraId="40716B95" w14:textId="6065C53C" w:rsidR="00860F00" w:rsidRDefault="00860F00" w:rsidP="0064554E">
            <w:pPr>
              <w:pStyle w:val="TableParagraph"/>
              <w:rPr>
                <w:rFonts w:ascii="Times New Roman"/>
              </w:rPr>
            </w:pPr>
          </w:p>
        </w:tc>
        <w:tc>
          <w:tcPr>
            <w:tcW w:w="2138" w:type="dxa"/>
          </w:tcPr>
          <w:p w14:paraId="5A39143C" w14:textId="08359C50" w:rsidR="00860F00" w:rsidRDefault="00860F00" w:rsidP="0064554E">
            <w:pPr>
              <w:pStyle w:val="TableParagraph"/>
              <w:spacing w:before="161"/>
              <w:ind w:left="211"/>
              <w:jc w:val="center"/>
              <w:rPr>
                <w:rFonts w:ascii="Wingdings" w:hAnsi="Wingdings"/>
              </w:rPr>
            </w:pPr>
            <w:r>
              <w:rPr>
                <w:rFonts w:ascii="Wingdings" w:hAnsi="Wingdings"/>
              </w:rPr>
              <w:t></w:t>
            </w:r>
          </w:p>
        </w:tc>
      </w:tr>
      <w:tr w:rsidR="00860F00" w14:paraId="432312ED" w14:textId="77777777" w:rsidTr="00860F00">
        <w:trPr>
          <w:trHeight w:val="553"/>
        </w:trPr>
        <w:tc>
          <w:tcPr>
            <w:tcW w:w="3017" w:type="dxa"/>
          </w:tcPr>
          <w:p w14:paraId="55A39B72" w14:textId="5B5E7558" w:rsidR="00860F00" w:rsidRPr="009F3302" w:rsidRDefault="00860F00" w:rsidP="0064554E">
            <w:pPr>
              <w:pStyle w:val="TableParagraph"/>
              <w:spacing w:before="28" w:line="252" w:lineRule="exact"/>
              <w:ind w:left="292"/>
            </w:pPr>
            <w:r w:rsidRPr="00860F00">
              <w:t>Welcome treatment in the fruit and dessert room (*)</w:t>
            </w:r>
          </w:p>
        </w:tc>
        <w:tc>
          <w:tcPr>
            <w:tcW w:w="2180" w:type="dxa"/>
          </w:tcPr>
          <w:p w14:paraId="008F4B4C" w14:textId="77777777" w:rsidR="00860F00" w:rsidRDefault="00860F00" w:rsidP="0064554E">
            <w:pPr>
              <w:pStyle w:val="TableParagraph"/>
              <w:rPr>
                <w:rFonts w:ascii="Times New Roman"/>
              </w:rPr>
            </w:pPr>
          </w:p>
        </w:tc>
        <w:tc>
          <w:tcPr>
            <w:tcW w:w="2272" w:type="dxa"/>
          </w:tcPr>
          <w:p w14:paraId="14484A40" w14:textId="77777777" w:rsidR="00860F00" w:rsidRDefault="00860F00" w:rsidP="0064554E">
            <w:pPr>
              <w:pStyle w:val="TableParagraph"/>
              <w:rPr>
                <w:rFonts w:ascii="Times New Roman"/>
              </w:rPr>
            </w:pPr>
          </w:p>
        </w:tc>
        <w:tc>
          <w:tcPr>
            <w:tcW w:w="2138" w:type="dxa"/>
          </w:tcPr>
          <w:p w14:paraId="3455301A" w14:textId="6CE5897C" w:rsidR="00860F00" w:rsidRDefault="00860F00" w:rsidP="0064554E">
            <w:pPr>
              <w:pStyle w:val="TableParagraph"/>
              <w:spacing w:before="161"/>
              <w:ind w:left="211"/>
              <w:jc w:val="center"/>
              <w:rPr>
                <w:rFonts w:ascii="Wingdings" w:hAnsi="Wingdings"/>
              </w:rPr>
            </w:pPr>
            <w:r>
              <w:rPr>
                <w:rFonts w:ascii="Wingdings" w:hAnsi="Wingdings"/>
              </w:rPr>
              <w:t></w:t>
            </w:r>
          </w:p>
        </w:tc>
      </w:tr>
    </w:tbl>
    <w:p w14:paraId="31EB86AD" w14:textId="77777777" w:rsidR="005D2232" w:rsidRDefault="005D2232" w:rsidP="00391BD3">
      <w:pPr>
        <w:rPr>
          <w:rFonts w:ascii="Wingdings" w:hAnsi="Wingdings"/>
        </w:rPr>
        <w:sectPr w:rsidR="005D2232" w:rsidSect="002256CA">
          <w:headerReference w:type="default" r:id="rId9"/>
          <w:footerReference w:type="default" r:id="rId10"/>
          <w:pgSz w:w="11920" w:h="16860"/>
          <w:pgMar w:top="1580" w:right="1000" w:bottom="1000" w:left="1020" w:header="598" w:footer="817" w:gutter="0"/>
          <w:pgNumType w:start="2"/>
          <w:cols w:space="720"/>
        </w:sectPr>
      </w:pPr>
    </w:p>
    <w:p w14:paraId="339A664E" w14:textId="77777777" w:rsidR="005D2232" w:rsidRDefault="005D2232">
      <w:pPr>
        <w:pStyle w:val="BodyText"/>
        <w:spacing w:before="8"/>
        <w:rPr>
          <w:b/>
          <w:sz w:val="6"/>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4"/>
        <w:gridCol w:w="2031"/>
        <w:gridCol w:w="2034"/>
        <w:gridCol w:w="2033"/>
      </w:tblGrid>
      <w:tr w:rsidR="005D2232" w14:paraId="15BECE07" w14:textId="77777777">
        <w:trPr>
          <w:trHeight w:val="1079"/>
        </w:trPr>
        <w:tc>
          <w:tcPr>
            <w:tcW w:w="3404" w:type="dxa"/>
          </w:tcPr>
          <w:p w14:paraId="3033285A" w14:textId="5F9754A5" w:rsidR="005D2232" w:rsidRPr="004E2DC1" w:rsidRDefault="00EF427A" w:rsidP="004E2DC1">
            <w:pPr>
              <w:pStyle w:val="TableParagraph"/>
              <w:spacing w:before="1" w:line="242" w:lineRule="auto"/>
              <w:ind w:left="292"/>
              <w:rPr>
                <w:spacing w:val="-2"/>
              </w:rPr>
            </w:pPr>
            <w:r w:rsidRPr="00EF427A">
              <w:t>A "Ski pass" (30 points) per stay/one person (valid for a stay at Poiana Brasov)</w:t>
            </w:r>
          </w:p>
        </w:tc>
        <w:tc>
          <w:tcPr>
            <w:tcW w:w="2031" w:type="dxa"/>
          </w:tcPr>
          <w:p w14:paraId="359FD88B" w14:textId="77777777" w:rsidR="005D2232" w:rsidRDefault="005D2232">
            <w:pPr>
              <w:pStyle w:val="TableParagraph"/>
              <w:rPr>
                <w:rFonts w:ascii="Times New Roman"/>
              </w:rPr>
            </w:pPr>
          </w:p>
        </w:tc>
        <w:tc>
          <w:tcPr>
            <w:tcW w:w="2034" w:type="dxa"/>
          </w:tcPr>
          <w:p w14:paraId="504309C9" w14:textId="77777777" w:rsidR="005D2232" w:rsidRDefault="005D2232">
            <w:pPr>
              <w:pStyle w:val="TableParagraph"/>
              <w:rPr>
                <w:rFonts w:ascii="Times New Roman"/>
              </w:rPr>
            </w:pPr>
          </w:p>
        </w:tc>
        <w:tc>
          <w:tcPr>
            <w:tcW w:w="2033" w:type="dxa"/>
          </w:tcPr>
          <w:p w14:paraId="36DB5430" w14:textId="77777777" w:rsidR="005D2232" w:rsidRDefault="005D2232">
            <w:pPr>
              <w:pStyle w:val="TableParagraph"/>
              <w:spacing w:before="3"/>
              <w:rPr>
                <w:b/>
                <w:sz w:val="24"/>
              </w:rPr>
            </w:pPr>
          </w:p>
          <w:p w14:paraId="17398C0F" w14:textId="77777777" w:rsidR="005D2232" w:rsidRDefault="00B316EF">
            <w:pPr>
              <w:pStyle w:val="TableParagraph"/>
              <w:ind w:right="807"/>
              <w:jc w:val="right"/>
              <w:rPr>
                <w:rFonts w:ascii="Wingdings" w:hAnsi="Wingdings"/>
              </w:rPr>
            </w:pPr>
            <w:r>
              <w:rPr>
                <w:rFonts w:ascii="Wingdings" w:hAnsi="Wingdings"/>
              </w:rPr>
              <w:t></w:t>
            </w:r>
          </w:p>
        </w:tc>
      </w:tr>
      <w:tr w:rsidR="005D2232" w14:paraId="6B362EC5" w14:textId="77777777">
        <w:trPr>
          <w:trHeight w:val="1079"/>
        </w:trPr>
        <w:tc>
          <w:tcPr>
            <w:tcW w:w="3404" w:type="dxa"/>
          </w:tcPr>
          <w:p w14:paraId="1FF00745" w14:textId="11536DA3" w:rsidR="005D2232" w:rsidRDefault="00EF427A" w:rsidP="004E2DC1">
            <w:pPr>
              <w:pStyle w:val="TableParagraph"/>
              <w:spacing w:before="1" w:line="242" w:lineRule="auto"/>
              <w:ind w:left="292"/>
            </w:pPr>
            <w:r w:rsidRPr="00EF427A">
              <w:t>One free stay/one person access to Techirghiol Pool within Ana Hotels Eforie Nord.</w:t>
            </w:r>
          </w:p>
        </w:tc>
        <w:tc>
          <w:tcPr>
            <w:tcW w:w="2031" w:type="dxa"/>
          </w:tcPr>
          <w:p w14:paraId="5653ABCB" w14:textId="77777777" w:rsidR="005D2232" w:rsidRDefault="005D2232">
            <w:pPr>
              <w:pStyle w:val="TableParagraph"/>
              <w:rPr>
                <w:rFonts w:ascii="Times New Roman"/>
              </w:rPr>
            </w:pPr>
          </w:p>
        </w:tc>
        <w:tc>
          <w:tcPr>
            <w:tcW w:w="2034" w:type="dxa"/>
          </w:tcPr>
          <w:p w14:paraId="62F280C2" w14:textId="77777777" w:rsidR="005D2232" w:rsidRDefault="005D2232">
            <w:pPr>
              <w:pStyle w:val="TableParagraph"/>
              <w:rPr>
                <w:rFonts w:ascii="Times New Roman"/>
              </w:rPr>
            </w:pPr>
          </w:p>
        </w:tc>
        <w:tc>
          <w:tcPr>
            <w:tcW w:w="2033" w:type="dxa"/>
          </w:tcPr>
          <w:p w14:paraId="0C426F8A" w14:textId="77777777" w:rsidR="005D2232" w:rsidRDefault="005D2232">
            <w:pPr>
              <w:pStyle w:val="TableParagraph"/>
              <w:rPr>
                <w:b/>
                <w:sz w:val="24"/>
              </w:rPr>
            </w:pPr>
          </w:p>
          <w:p w14:paraId="6BBDCB89" w14:textId="77777777" w:rsidR="005D2232" w:rsidRDefault="00B316EF">
            <w:pPr>
              <w:pStyle w:val="TableParagraph"/>
              <w:spacing w:before="1"/>
              <w:ind w:right="807"/>
              <w:jc w:val="right"/>
              <w:rPr>
                <w:rFonts w:ascii="Wingdings" w:hAnsi="Wingdings"/>
              </w:rPr>
            </w:pPr>
            <w:r>
              <w:rPr>
                <w:rFonts w:ascii="Wingdings" w:hAnsi="Wingdings"/>
              </w:rPr>
              <w:t></w:t>
            </w:r>
          </w:p>
        </w:tc>
      </w:tr>
      <w:tr w:rsidR="005D2232" w14:paraId="4499AC0B" w14:textId="77777777">
        <w:trPr>
          <w:trHeight w:val="810"/>
        </w:trPr>
        <w:tc>
          <w:tcPr>
            <w:tcW w:w="3404" w:type="dxa"/>
          </w:tcPr>
          <w:p w14:paraId="4441C58D" w14:textId="77777777" w:rsidR="00EF427A" w:rsidRDefault="00EF427A" w:rsidP="00EF427A">
            <w:pPr>
              <w:pStyle w:val="TableParagraph"/>
              <w:spacing w:before="1"/>
              <w:ind w:left="292"/>
            </w:pPr>
            <w:r>
              <w:t>A free massage at the SPA for 25</w:t>
            </w:r>
          </w:p>
          <w:p w14:paraId="43C780C5" w14:textId="2A4481E0" w:rsidR="005D2232" w:rsidRDefault="00EF427A" w:rsidP="00EF427A">
            <w:pPr>
              <w:pStyle w:val="TableParagraph"/>
              <w:spacing w:line="270" w:lineRule="atLeast"/>
              <w:ind w:left="292"/>
            </w:pPr>
            <w:r>
              <w:t>Stress Relief minutes for one person/stay (*)</w:t>
            </w:r>
          </w:p>
        </w:tc>
        <w:tc>
          <w:tcPr>
            <w:tcW w:w="2031" w:type="dxa"/>
          </w:tcPr>
          <w:p w14:paraId="57A3D4D7" w14:textId="77777777" w:rsidR="005D2232" w:rsidRDefault="005D2232">
            <w:pPr>
              <w:pStyle w:val="TableParagraph"/>
              <w:rPr>
                <w:rFonts w:ascii="Times New Roman"/>
              </w:rPr>
            </w:pPr>
          </w:p>
        </w:tc>
        <w:tc>
          <w:tcPr>
            <w:tcW w:w="2034" w:type="dxa"/>
          </w:tcPr>
          <w:p w14:paraId="43291CB0" w14:textId="77777777" w:rsidR="005D2232" w:rsidRDefault="005D2232">
            <w:pPr>
              <w:pStyle w:val="TableParagraph"/>
              <w:rPr>
                <w:rFonts w:ascii="Times New Roman"/>
              </w:rPr>
            </w:pPr>
          </w:p>
        </w:tc>
        <w:tc>
          <w:tcPr>
            <w:tcW w:w="2033" w:type="dxa"/>
          </w:tcPr>
          <w:p w14:paraId="1B3E6AF3" w14:textId="77777777" w:rsidR="005D2232" w:rsidRDefault="00B316EF">
            <w:pPr>
              <w:pStyle w:val="TableParagraph"/>
              <w:spacing w:before="164"/>
              <w:ind w:right="807"/>
              <w:jc w:val="right"/>
              <w:rPr>
                <w:rFonts w:ascii="Wingdings" w:hAnsi="Wingdings"/>
              </w:rPr>
            </w:pPr>
            <w:r>
              <w:rPr>
                <w:rFonts w:ascii="Wingdings" w:hAnsi="Wingdings"/>
              </w:rPr>
              <w:t></w:t>
            </w:r>
          </w:p>
        </w:tc>
      </w:tr>
      <w:tr w:rsidR="005D2232" w14:paraId="360F4BA6" w14:textId="77777777">
        <w:trPr>
          <w:trHeight w:val="823"/>
        </w:trPr>
        <w:tc>
          <w:tcPr>
            <w:tcW w:w="3404" w:type="dxa"/>
          </w:tcPr>
          <w:p w14:paraId="39792B47" w14:textId="77777777" w:rsidR="00EF427A" w:rsidRDefault="00EF427A" w:rsidP="00EF427A">
            <w:pPr>
              <w:pStyle w:val="TableParagraph"/>
              <w:spacing w:before="13"/>
              <w:ind w:left="292"/>
            </w:pPr>
            <w:r>
              <w:t>Guaranteed availability at</w:t>
            </w:r>
          </w:p>
          <w:p w14:paraId="787E203A" w14:textId="77777777" w:rsidR="00EF427A" w:rsidRDefault="00EF427A" w:rsidP="00EF427A">
            <w:pPr>
              <w:pStyle w:val="TableParagraph"/>
              <w:spacing w:before="13"/>
              <w:ind w:left="292"/>
            </w:pPr>
            <w:r>
              <w:t>"Sunday Brunch" Crowne Plaza</w:t>
            </w:r>
          </w:p>
          <w:p w14:paraId="06F283A1" w14:textId="19A73E52" w:rsidR="005D2232" w:rsidRDefault="00EF427A" w:rsidP="00EF427A">
            <w:pPr>
              <w:pStyle w:val="TableParagraph"/>
              <w:spacing w:before="4" w:line="249" w:lineRule="exact"/>
              <w:ind w:left="292"/>
            </w:pPr>
            <w:r>
              <w:t>for a maximum of 4 people</w:t>
            </w:r>
          </w:p>
        </w:tc>
        <w:tc>
          <w:tcPr>
            <w:tcW w:w="2031" w:type="dxa"/>
          </w:tcPr>
          <w:p w14:paraId="20B05AC8" w14:textId="77777777" w:rsidR="005D2232" w:rsidRDefault="005D2232">
            <w:pPr>
              <w:pStyle w:val="TableParagraph"/>
              <w:rPr>
                <w:rFonts w:ascii="Times New Roman"/>
              </w:rPr>
            </w:pPr>
          </w:p>
        </w:tc>
        <w:tc>
          <w:tcPr>
            <w:tcW w:w="2034" w:type="dxa"/>
          </w:tcPr>
          <w:p w14:paraId="28977357" w14:textId="77777777" w:rsidR="005D2232" w:rsidRDefault="005D2232">
            <w:pPr>
              <w:pStyle w:val="TableParagraph"/>
              <w:rPr>
                <w:rFonts w:ascii="Times New Roman"/>
              </w:rPr>
            </w:pPr>
          </w:p>
        </w:tc>
        <w:tc>
          <w:tcPr>
            <w:tcW w:w="2033" w:type="dxa"/>
          </w:tcPr>
          <w:p w14:paraId="55308B6C" w14:textId="77777777" w:rsidR="005D2232" w:rsidRDefault="005D2232">
            <w:pPr>
              <w:pStyle w:val="TableParagraph"/>
              <w:spacing w:before="3"/>
              <w:rPr>
                <w:b/>
                <w:sz w:val="24"/>
              </w:rPr>
            </w:pPr>
          </w:p>
          <w:p w14:paraId="42619EA1" w14:textId="77777777" w:rsidR="005D2232" w:rsidRDefault="00B316EF">
            <w:pPr>
              <w:pStyle w:val="TableParagraph"/>
              <w:ind w:right="807"/>
              <w:jc w:val="right"/>
              <w:rPr>
                <w:rFonts w:ascii="Wingdings" w:hAnsi="Wingdings"/>
              </w:rPr>
            </w:pPr>
            <w:r>
              <w:rPr>
                <w:rFonts w:ascii="Wingdings" w:hAnsi="Wingdings"/>
              </w:rPr>
              <w:t></w:t>
            </w:r>
          </w:p>
        </w:tc>
      </w:tr>
      <w:tr w:rsidR="003B0511" w14:paraId="45C05D10" w14:textId="77777777">
        <w:trPr>
          <w:trHeight w:val="823"/>
        </w:trPr>
        <w:tc>
          <w:tcPr>
            <w:tcW w:w="3404" w:type="dxa"/>
          </w:tcPr>
          <w:p w14:paraId="4DB57533" w14:textId="7043C6B2" w:rsidR="003B0511" w:rsidRDefault="00EF427A">
            <w:pPr>
              <w:pStyle w:val="TableParagraph"/>
              <w:spacing w:before="13"/>
              <w:ind w:left="292"/>
            </w:pPr>
            <w:bookmarkStart w:id="0" w:name="_Hlk157605543"/>
            <w:r w:rsidRPr="00EF427A">
              <w:t>Free access to Aqua Salty Delight at Ana Health Spa Eforie Nord for one person/stay.</w:t>
            </w:r>
          </w:p>
        </w:tc>
        <w:tc>
          <w:tcPr>
            <w:tcW w:w="2031" w:type="dxa"/>
          </w:tcPr>
          <w:p w14:paraId="455DF540" w14:textId="77777777" w:rsidR="003B0511" w:rsidRDefault="003B0511">
            <w:pPr>
              <w:pStyle w:val="TableParagraph"/>
              <w:rPr>
                <w:rFonts w:ascii="Times New Roman"/>
              </w:rPr>
            </w:pPr>
          </w:p>
        </w:tc>
        <w:tc>
          <w:tcPr>
            <w:tcW w:w="2034" w:type="dxa"/>
          </w:tcPr>
          <w:p w14:paraId="41EECF71" w14:textId="77777777" w:rsidR="000D3E22" w:rsidRDefault="000D3E22" w:rsidP="000D3E22">
            <w:pPr>
              <w:pStyle w:val="TableParagraph"/>
              <w:jc w:val="center"/>
              <w:rPr>
                <w:rFonts w:ascii="Wingdings" w:hAnsi="Wingdings"/>
              </w:rPr>
            </w:pPr>
          </w:p>
          <w:p w14:paraId="6485B130" w14:textId="77777777" w:rsidR="000D3E22" w:rsidRDefault="000D3E22" w:rsidP="000D3E22">
            <w:pPr>
              <w:pStyle w:val="TableParagraph"/>
              <w:jc w:val="center"/>
              <w:rPr>
                <w:rFonts w:ascii="Wingdings" w:hAnsi="Wingdings"/>
              </w:rPr>
            </w:pPr>
          </w:p>
          <w:p w14:paraId="40967C48" w14:textId="0198F899" w:rsidR="003B0511" w:rsidRDefault="000D3E22" w:rsidP="000D3E22">
            <w:pPr>
              <w:pStyle w:val="TableParagraph"/>
              <w:jc w:val="center"/>
              <w:rPr>
                <w:rFonts w:ascii="Times New Roman"/>
              </w:rPr>
            </w:pPr>
            <w:r>
              <w:rPr>
                <w:rFonts w:ascii="Wingdings" w:hAnsi="Wingdings"/>
              </w:rPr>
              <w:t></w:t>
            </w:r>
          </w:p>
        </w:tc>
        <w:tc>
          <w:tcPr>
            <w:tcW w:w="2033" w:type="dxa"/>
          </w:tcPr>
          <w:p w14:paraId="28D351C5" w14:textId="77777777" w:rsidR="000D3E22" w:rsidRDefault="000D3E22" w:rsidP="000D3E22">
            <w:pPr>
              <w:jc w:val="center"/>
              <w:rPr>
                <w:rFonts w:ascii="Wingdings" w:hAnsi="Wingdings"/>
              </w:rPr>
            </w:pPr>
          </w:p>
          <w:p w14:paraId="3E283EF2" w14:textId="77777777" w:rsidR="000D3E22" w:rsidRDefault="000D3E22" w:rsidP="000D3E22">
            <w:pPr>
              <w:jc w:val="center"/>
              <w:rPr>
                <w:rFonts w:ascii="Wingdings" w:hAnsi="Wingdings"/>
              </w:rPr>
            </w:pPr>
          </w:p>
          <w:p w14:paraId="682A9C70" w14:textId="4DF4A9F0" w:rsidR="000D3E22" w:rsidRPr="000D3E22" w:rsidRDefault="000D3E22" w:rsidP="000D3E22">
            <w:pPr>
              <w:jc w:val="center"/>
            </w:pPr>
            <w:r>
              <w:rPr>
                <w:rFonts w:ascii="Wingdings" w:hAnsi="Wingdings"/>
              </w:rPr>
              <w:t></w:t>
            </w:r>
          </w:p>
        </w:tc>
      </w:tr>
      <w:bookmarkEnd w:id="0"/>
      <w:tr w:rsidR="003B0511" w14:paraId="749937B7" w14:textId="77777777">
        <w:trPr>
          <w:trHeight w:val="823"/>
        </w:trPr>
        <w:tc>
          <w:tcPr>
            <w:tcW w:w="3404" w:type="dxa"/>
          </w:tcPr>
          <w:p w14:paraId="1C96E9E1" w14:textId="5C8D0F62" w:rsidR="000D3E22" w:rsidRPr="000D3E22" w:rsidRDefault="00EF427A" w:rsidP="000D3E22">
            <w:pPr>
              <w:pStyle w:val="TableParagraph"/>
              <w:spacing w:before="13"/>
              <w:ind w:left="292"/>
            </w:pPr>
            <w:r w:rsidRPr="00EF427A">
              <w:t>A free 25 min Ayurveda Face Lift massage at Ana Health Spa Eforie Nord for one person/stay.</w:t>
            </w:r>
          </w:p>
        </w:tc>
        <w:tc>
          <w:tcPr>
            <w:tcW w:w="2031" w:type="dxa"/>
          </w:tcPr>
          <w:p w14:paraId="64971156" w14:textId="77777777" w:rsidR="003B0511" w:rsidRDefault="003B0511">
            <w:pPr>
              <w:pStyle w:val="TableParagraph"/>
              <w:rPr>
                <w:rFonts w:ascii="Times New Roman"/>
              </w:rPr>
            </w:pPr>
          </w:p>
        </w:tc>
        <w:tc>
          <w:tcPr>
            <w:tcW w:w="2034" w:type="dxa"/>
          </w:tcPr>
          <w:p w14:paraId="2361034C" w14:textId="77777777" w:rsidR="000D3E22" w:rsidRDefault="000D3E22" w:rsidP="000D3E22">
            <w:pPr>
              <w:pStyle w:val="TableParagraph"/>
              <w:jc w:val="center"/>
              <w:rPr>
                <w:rFonts w:ascii="Wingdings" w:hAnsi="Wingdings"/>
              </w:rPr>
            </w:pPr>
          </w:p>
          <w:p w14:paraId="2AA267E6" w14:textId="77777777" w:rsidR="000D3E22" w:rsidRDefault="000D3E22" w:rsidP="000D3E22">
            <w:pPr>
              <w:pStyle w:val="TableParagraph"/>
              <w:jc w:val="center"/>
              <w:rPr>
                <w:rFonts w:ascii="Wingdings" w:hAnsi="Wingdings"/>
              </w:rPr>
            </w:pPr>
          </w:p>
          <w:p w14:paraId="767ABB87" w14:textId="5BC834E7" w:rsidR="003B0511" w:rsidRDefault="000D3E22" w:rsidP="000D3E22">
            <w:pPr>
              <w:pStyle w:val="TableParagraph"/>
              <w:jc w:val="center"/>
              <w:rPr>
                <w:rFonts w:ascii="Times New Roman"/>
              </w:rPr>
            </w:pPr>
            <w:r>
              <w:rPr>
                <w:rFonts w:ascii="Wingdings" w:hAnsi="Wingdings"/>
              </w:rPr>
              <w:t></w:t>
            </w:r>
          </w:p>
          <w:p w14:paraId="1280FDB7" w14:textId="1CC02450" w:rsidR="000D3E22" w:rsidRPr="000D3E22" w:rsidRDefault="000D3E22" w:rsidP="000D3E22"/>
        </w:tc>
        <w:tc>
          <w:tcPr>
            <w:tcW w:w="2033" w:type="dxa"/>
          </w:tcPr>
          <w:p w14:paraId="32A79660" w14:textId="77777777" w:rsidR="000D3E22" w:rsidRDefault="000D3E22" w:rsidP="000D3E22">
            <w:pPr>
              <w:pStyle w:val="TableParagraph"/>
              <w:jc w:val="center"/>
              <w:rPr>
                <w:rFonts w:ascii="Wingdings" w:hAnsi="Wingdings"/>
              </w:rPr>
            </w:pPr>
          </w:p>
          <w:p w14:paraId="655C71C6" w14:textId="77777777" w:rsidR="000D3E22" w:rsidRDefault="000D3E22" w:rsidP="000D3E22">
            <w:pPr>
              <w:pStyle w:val="TableParagraph"/>
              <w:jc w:val="center"/>
              <w:rPr>
                <w:rFonts w:ascii="Wingdings" w:hAnsi="Wingdings"/>
              </w:rPr>
            </w:pPr>
          </w:p>
          <w:p w14:paraId="62AC7801" w14:textId="6240A73B" w:rsidR="000D3E22" w:rsidRDefault="000D3E22" w:rsidP="000D3E22">
            <w:pPr>
              <w:pStyle w:val="TableParagraph"/>
              <w:jc w:val="center"/>
              <w:rPr>
                <w:rFonts w:ascii="Times New Roman"/>
              </w:rPr>
            </w:pPr>
            <w:r>
              <w:rPr>
                <w:rFonts w:ascii="Wingdings" w:hAnsi="Wingdings"/>
              </w:rPr>
              <w:t></w:t>
            </w:r>
          </w:p>
          <w:p w14:paraId="7992176A" w14:textId="77777777" w:rsidR="003B0511" w:rsidRDefault="003B0511">
            <w:pPr>
              <w:pStyle w:val="TableParagraph"/>
              <w:spacing w:before="3"/>
              <w:rPr>
                <w:b/>
                <w:sz w:val="24"/>
              </w:rPr>
            </w:pPr>
          </w:p>
        </w:tc>
      </w:tr>
      <w:tr w:rsidR="000D3E22" w14:paraId="7A941964" w14:textId="77777777">
        <w:trPr>
          <w:trHeight w:val="823"/>
        </w:trPr>
        <w:tc>
          <w:tcPr>
            <w:tcW w:w="3404" w:type="dxa"/>
          </w:tcPr>
          <w:p w14:paraId="2FDCABD5" w14:textId="46383731" w:rsidR="000D3E22" w:rsidRDefault="00EF427A" w:rsidP="000D3E22">
            <w:pPr>
              <w:pStyle w:val="TableParagraph"/>
              <w:spacing w:before="13"/>
              <w:ind w:left="292"/>
            </w:pPr>
            <w:r w:rsidRPr="00EF427A">
              <w:t>10% discount on Ana Spa Signature therapies from the Ana Spa Collection brochure.(***)</w:t>
            </w:r>
          </w:p>
        </w:tc>
        <w:tc>
          <w:tcPr>
            <w:tcW w:w="2031" w:type="dxa"/>
          </w:tcPr>
          <w:p w14:paraId="3FB8CCCE" w14:textId="77777777" w:rsidR="000D3E22" w:rsidRDefault="000D3E22">
            <w:pPr>
              <w:pStyle w:val="TableParagraph"/>
              <w:rPr>
                <w:rFonts w:ascii="Times New Roman"/>
              </w:rPr>
            </w:pPr>
          </w:p>
        </w:tc>
        <w:tc>
          <w:tcPr>
            <w:tcW w:w="2034" w:type="dxa"/>
          </w:tcPr>
          <w:p w14:paraId="2F95C26E" w14:textId="77777777" w:rsidR="000D3E22" w:rsidRDefault="000D3E22" w:rsidP="000D3E22">
            <w:pPr>
              <w:pStyle w:val="TableParagraph"/>
              <w:jc w:val="center"/>
              <w:rPr>
                <w:rFonts w:ascii="Wingdings" w:hAnsi="Wingdings"/>
              </w:rPr>
            </w:pPr>
          </w:p>
        </w:tc>
        <w:tc>
          <w:tcPr>
            <w:tcW w:w="2033" w:type="dxa"/>
          </w:tcPr>
          <w:p w14:paraId="23A9FC2E" w14:textId="77777777" w:rsidR="006907E4" w:rsidRDefault="006907E4" w:rsidP="006907E4">
            <w:pPr>
              <w:pStyle w:val="TableParagraph"/>
              <w:jc w:val="center"/>
              <w:rPr>
                <w:rFonts w:ascii="Wingdings" w:hAnsi="Wingdings"/>
              </w:rPr>
            </w:pPr>
          </w:p>
          <w:p w14:paraId="1F50D1FA" w14:textId="15F64461" w:rsidR="000D3E22" w:rsidRDefault="006907E4" w:rsidP="006907E4">
            <w:pPr>
              <w:pStyle w:val="TableParagraph"/>
              <w:jc w:val="center"/>
              <w:rPr>
                <w:rFonts w:ascii="Wingdings" w:hAnsi="Wingdings"/>
              </w:rPr>
            </w:pPr>
            <w:r w:rsidRPr="006907E4">
              <w:rPr>
                <w:rFonts w:ascii="Wingdings" w:hAnsi="Wingdings"/>
              </w:rPr>
              <w:t></w:t>
            </w:r>
          </w:p>
        </w:tc>
      </w:tr>
      <w:tr w:rsidR="006907E4" w14:paraId="0D7FBAC6" w14:textId="77777777">
        <w:trPr>
          <w:trHeight w:val="823"/>
        </w:trPr>
        <w:tc>
          <w:tcPr>
            <w:tcW w:w="3404" w:type="dxa"/>
          </w:tcPr>
          <w:p w14:paraId="06F62F1D" w14:textId="49929A69" w:rsidR="006907E4" w:rsidRDefault="00EF427A" w:rsidP="000D3E22">
            <w:pPr>
              <w:pStyle w:val="TableParagraph"/>
              <w:spacing w:before="13"/>
              <w:ind w:left="292"/>
            </w:pPr>
            <w:r w:rsidRPr="00EF427A">
              <w:t>5% discount from the list prices when organizing private events in locations participating in the program.(***)</w:t>
            </w:r>
          </w:p>
        </w:tc>
        <w:tc>
          <w:tcPr>
            <w:tcW w:w="2031" w:type="dxa"/>
          </w:tcPr>
          <w:p w14:paraId="2D7A11C0" w14:textId="77777777" w:rsidR="006907E4" w:rsidRDefault="006907E4">
            <w:pPr>
              <w:pStyle w:val="TableParagraph"/>
              <w:rPr>
                <w:rFonts w:ascii="Times New Roman"/>
              </w:rPr>
            </w:pPr>
          </w:p>
        </w:tc>
        <w:tc>
          <w:tcPr>
            <w:tcW w:w="2034" w:type="dxa"/>
          </w:tcPr>
          <w:p w14:paraId="3F07BEA7" w14:textId="77777777" w:rsidR="006907E4" w:rsidRDefault="006907E4" w:rsidP="000D3E22">
            <w:pPr>
              <w:pStyle w:val="TableParagraph"/>
              <w:jc w:val="center"/>
              <w:rPr>
                <w:rFonts w:ascii="Wingdings" w:hAnsi="Wingdings"/>
              </w:rPr>
            </w:pPr>
          </w:p>
        </w:tc>
        <w:tc>
          <w:tcPr>
            <w:tcW w:w="2033" w:type="dxa"/>
          </w:tcPr>
          <w:p w14:paraId="4F443DDC" w14:textId="77777777" w:rsidR="006907E4" w:rsidRDefault="006907E4" w:rsidP="006907E4">
            <w:pPr>
              <w:pStyle w:val="TableParagraph"/>
              <w:jc w:val="center"/>
              <w:rPr>
                <w:rFonts w:ascii="Wingdings" w:hAnsi="Wingdings"/>
              </w:rPr>
            </w:pPr>
          </w:p>
          <w:p w14:paraId="69E78BB2" w14:textId="77777777" w:rsidR="006907E4" w:rsidRDefault="006907E4" w:rsidP="006907E4">
            <w:pPr>
              <w:pStyle w:val="TableParagraph"/>
              <w:jc w:val="center"/>
              <w:rPr>
                <w:rFonts w:ascii="Wingdings" w:hAnsi="Wingdings"/>
              </w:rPr>
            </w:pPr>
          </w:p>
          <w:p w14:paraId="2729E695" w14:textId="08060481" w:rsidR="006907E4" w:rsidRDefault="006907E4" w:rsidP="006907E4">
            <w:pPr>
              <w:pStyle w:val="TableParagraph"/>
              <w:jc w:val="center"/>
              <w:rPr>
                <w:rFonts w:ascii="Wingdings" w:hAnsi="Wingdings"/>
              </w:rPr>
            </w:pPr>
            <w:r w:rsidRPr="006907E4">
              <w:rPr>
                <w:rFonts w:ascii="Wingdings" w:hAnsi="Wingdings"/>
              </w:rPr>
              <w:t></w:t>
            </w:r>
          </w:p>
        </w:tc>
      </w:tr>
    </w:tbl>
    <w:p w14:paraId="03D5EBE3" w14:textId="77777777" w:rsidR="005D2232" w:rsidRDefault="005D2232">
      <w:pPr>
        <w:pStyle w:val="BodyText"/>
        <w:rPr>
          <w:b/>
          <w:sz w:val="17"/>
        </w:rPr>
      </w:pPr>
    </w:p>
    <w:p w14:paraId="34F6A394" w14:textId="77777777" w:rsidR="00EF427A" w:rsidRDefault="00EF427A" w:rsidP="00EF427A">
      <w:pPr>
        <w:pStyle w:val="BodyText"/>
        <w:spacing w:before="1"/>
      </w:pPr>
      <w:r>
        <w:t>(*) – benefits valid only for members staying at the hotels: Ana Hotels Sport, Ana Hotels Bradul, Ana Hotels Poiana and Ana Hotels Europa.</w:t>
      </w:r>
    </w:p>
    <w:p w14:paraId="74EE383C" w14:textId="77777777" w:rsidR="00EF427A" w:rsidRDefault="00EF427A" w:rsidP="00EF427A">
      <w:pPr>
        <w:pStyle w:val="BodyText"/>
        <w:spacing w:before="1"/>
      </w:pPr>
      <w:r>
        <w:t>(**) - Greener Stay - EcoFriendly initiative to protect the environment - In each room, the customer will find an Ana Hotels EcoFriendly door hanger. In order to reduce the consumption of water, energy and detergent, customers are invited to cancel the cleaning service for that day by placing the door hanger on the door handle outside until 10 p.m. As a sign of thanks for their involvement in our initiative to protect the environment, customers will receive 10 In by Ana Hotels loyalty points. If they are not enrolled in the loyalty program, they can enroll online or at the hotel reception.</w:t>
      </w:r>
    </w:p>
    <w:p w14:paraId="71F053F9" w14:textId="77777777" w:rsidR="00EF427A" w:rsidRDefault="00EF427A" w:rsidP="00EF427A">
      <w:pPr>
        <w:pStyle w:val="BodyText"/>
        <w:spacing w:before="1"/>
      </w:pPr>
      <w:r>
        <w:t>(***) - the discounts are not cumulative with other offers or promotions ongoing in the locations at the time.</w:t>
      </w:r>
    </w:p>
    <w:p w14:paraId="2BD2732A" w14:textId="77777777" w:rsidR="00EF427A" w:rsidRDefault="00EF427A" w:rsidP="00EF427A">
      <w:pPr>
        <w:pStyle w:val="BodyText"/>
        <w:spacing w:before="1"/>
      </w:pPr>
    </w:p>
    <w:p w14:paraId="4398E7E7" w14:textId="77777777" w:rsidR="00EF427A" w:rsidRDefault="00EF427A" w:rsidP="00EF427A">
      <w:pPr>
        <w:pStyle w:val="BodyText"/>
        <w:spacing w:before="1"/>
      </w:pPr>
      <w:r>
        <w:t>- Bonuses / points thus accumulated (1 point = 1 Leu) in the "IN by Ana Hotels" member's account can be used to partially or fully pay for another product or service subsequently purchased from the Hotels within 12 months (silver) , 18 months (gold), 24 months (platinum). Moving to a higher bonus level is done automatically according to grid 1.</w:t>
      </w:r>
    </w:p>
    <w:p w14:paraId="5C0553FF" w14:textId="77777777" w:rsidR="00EF427A" w:rsidRDefault="00EF427A" w:rsidP="00EF427A">
      <w:pPr>
        <w:pStyle w:val="BodyText"/>
        <w:spacing w:before="1"/>
      </w:pPr>
    </w:p>
    <w:p w14:paraId="537437A0" w14:textId="77777777" w:rsidR="00EF427A" w:rsidRDefault="00EF427A" w:rsidP="00EF427A">
      <w:pPr>
        <w:pStyle w:val="BodyText"/>
        <w:spacing w:before="1"/>
      </w:pPr>
      <w:r>
        <w:t>- Bonuses / points are accumulated only for the services actually consumed by the loyalty program member.</w:t>
      </w:r>
    </w:p>
    <w:p w14:paraId="2C86D4BC" w14:textId="77777777" w:rsidR="00EF427A" w:rsidRDefault="00EF427A" w:rsidP="00EF427A">
      <w:pPr>
        <w:pStyle w:val="BodyText"/>
        <w:spacing w:before="1"/>
      </w:pPr>
    </w:p>
    <w:p w14:paraId="1F31E3CD" w14:textId="4B9C0172" w:rsidR="005D2232" w:rsidRDefault="00EF427A" w:rsidP="00EF427A">
      <w:pPr>
        <w:pStyle w:val="BodyText"/>
        <w:spacing w:before="1"/>
      </w:pPr>
      <w:r>
        <w:t>- Depending on the loyalty program member's option, the amounts accumulated from the bonuses related to the purchases can be used starting with the next purchase or can be accumulated in the account.</w:t>
      </w:r>
    </w:p>
    <w:p w14:paraId="2E095E0A" w14:textId="77777777" w:rsidR="00EF427A" w:rsidRDefault="00EF427A" w:rsidP="00EF427A">
      <w:pPr>
        <w:pStyle w:val="BodyText"/>
        <w:spacing w:before="1"/>
      </w:pPr>
    </w:p>
    <w:p w14:paraId="3FCB1378" w14:textId="77777777" w:rsidR="00EF427A" w:rsidRDefault="00EF427A" w:rsidP="00EF427A">
      <w:pPr>
        <w:pStyle w:val="BodyText"/>
        <w:spacing w:before="1"/>
      </w:pPr>
    </w:p>
    <w:p w14:paraId="21305F10" w14:textId="77777777" w:rsidR="00DB7AFC" w:rsidRDefault="00DB7AFC" w:rsidP="00EF427A">
      <w:pPr>
        <w:pStyle w:val="BodyText"/>
        <w:spacing w:before="1"/>
      </w:pPr>
    </w:p>
    <w:p w14:paraId="391463BF" w14:textId="77777777" w:rsidR="00EF427A" w:rsidRDefault="00EF427A" w:rsidP="00EF427A">
      <w:pPr>
        <w:pStyle w:val="BodyText"/>
        <w:spacing w:before="1"/>
      </w:pPr>
    </w:p>
    <w:p w14:paraId="1B5E1BBF" w14:textId="7D4640B5" w:rsidR="00DB7AFC" w:rsidRDefault="00DB7AFC" w:rsidP="00DB7AFC">
      <w:pPr>
        <w:pStyle w:val="ListParagraph"/>
        <w:numPr>
          <w:ilvl w:val="0"/>
          <w:numId w:val="3"/>
        </w:numPr>
        <w:tabs>
          <w:tab w:val="left" w:pos="474"/>
        </w:tabs>
        <w:ind w:right="271"/>
      </w:pPr>
      <w:r>
        <w:lastRenderedPageBreak/>
        <w:t xml:space="preserve"> If the customer pays in full for a service / product with the accumulated bonus, he will not benefit from the bonus for the respective purchase. If the payment of a product or service is made partially with a previously accumulated bonus, the customer will receive a bonus only for the amount paid with cash or bank card. In the case of payments by transfer to the account (Payment order), the bonus will be transferred after the full collection of the rest of the payment for the purchased services.</w:t>
      </w:r>
    </w:p>
    <w:p w14:paraId="045B3533" w14:textId="77777777" w:rsidR="00DB7AFC" w:rsidRDefault="00DB7AFC" w:rsidP="00DB7AFC">
      <w:pPr>
        <w:tabs>
          <w:tab w:val="left" w:pos="474"/>
        </w:tabs>
        <w:ind w:right="271"/>
      </w:pPr>
    </w:p>
    <w:p w14:paraId="3A148B97" w14:textId="5C20A999" w:rsidR="00DB7AFC" w:rsidRDefault="00DB7AFC" w:rsidP="00DB7AFC">
      <w:pPr>
        <w:pStyle w:val="ListParagraph"/>
        <w:numPr>
          <w:ilvl w:val="0"/>
          <w:numId w:val="3"/>
        </w:numPr>
        <w:tabs>
          <w:tab w:val="left" w:pos="474"/>
        </w:tabs>
        <w:ind w:right="271"/>
      </w:pPr>
      <w:r>
        <w:t>To accumulate or spend bonuses, customers must mention at the hotel reception that they are "IN by Ana Hotels" members or show the application downloaded from their phone.</w:t>
      </w:r>
    </w:p>
    <w:p w14:paraId="271B1D48" w14:textId="77777777" w:rsidR="007C6278" w:rsidRDefault="007C6278" w:rsidP="007C6278">
      <w:pPr>
        <w:pStyle w:val="ListParagraph"/>
      </w:pPr>
    </w:p>
    <w:p w14:paraId="7FEFA1B2" w14:textId="57214B38" w:rsidR="007C6278" w:rsidRDefault="007C6278" w:rsidP="00DB7AFC">
      <w:pPr>
        <w:pStyle w:val="ListParagraph"/>
        <w:numPr>
          <w:ilvl w:val="0"/>
          <w:numId w:val="3"/>
        </w:numPr>
        <w:tabs>
          <w:tab w:val="left" w:pos="474"/>
        </w:tabs>
        <w:ind w:right="271"/>
      </w:pPr>
      <w:r w:rsidRPr="007C6278">
        <w:t>Resort taxes (local, promotion, mountain rescue), tips and damages cannot be paid with points</w:t>
      </w:r>
      <w:r>
        <w:t>.</w:t>
      </w:r>
    </w:p>
    <w:p w14:paraId="413C042F" w14:textId="77777777" w:rsidR="00DB7AFC" w:rsidRDefault="00DB7AFC" w:rsidP="00DB7AFC">
      <w:pPr>
        <w:pStyle w:val="ListParagraph"/>
        <w:tabs>
          <w:tab w:val="left" w:pos="474"/>
        </w:tabs>
        <w:ind w:right="271" w:firstLine="0"/>
      </w:pPr>
    </w:p>
    <w:p w14:paraId="3679613B" w14:textId="77777777" w:rsidR="00DB7AFC" w:rsidRPr="00DB7AFC" w:rsidRDefault="00DB7AFC" w:rsidP="00DB7AFC">
      <w:pPr>
        <w:tabs>
          <w:tab w:val="left" w:pos="474"/>
        </w:tabs>
        <w:ind w:right="271"/>
        <w:rPr>
          <w:b/>
          <w:bCs/>
        </w:rPr>
      </w:pPr>
      <w:r w:rsidRPr="00DB7AFC">
        <w:rPr>
          <w:b/>
          <w:bCs/>
        </w:rPr>
        <w:t>Art. 7 – Regulations of the "IN by Ana Hotels" Loyalty Program</w:t>
      </w:r>
    </w:p>
    <w:p w14:paraId="6993EC53" w14:textId="77777777" w:rsidR="00DB7AFC" w:rsidRDefault="00DB7AFC" w:rsidP="00DB7AFC">
      <w:pPr>
        <w:pStyle w:val="ListParagraph"/>
        <w:tabs>
          <w:tab w:val="left" w:pos="474"/>
        </w:tabs>
        <w:ind w:right="271" w:firstLine="0"/>
      </w:pPr>
    </w:p>
    <w:p w14:paraId="6ADE0876" w14:textId="66ADAB5D" w:rsidR="00DB7AFC" w:rsidRDefault="00DB7AFC" w:rsidP="00DB7AFC">
      <w:pPr>
        <w:pStyle w:val="ListParagraph"/>
        <w:numPr>
          <w:ilvl w:val="0"/>
          <w:numId w:val="1"/>
        </w:numPr>
        <w:tabs>
          <w:tab w:val="left" w:pos="474"/>
        </w:tabs>
        <w:ind w:right="271"/>
      </w:pPr>
      <w:r>
        <w:t>The participant must meet the conditions of Art. 2</w:t>
      </w:r>
    </w:p>
    <w:p w14:paraId="62F78EAD" w14:textId="59BA4380" w:rsidR="00DB7AFC" w:rsidRDefault="00DB7AFC" w:rsidP="00DB7AFC">
      <w:pPr>
        <w:pStyle w:val="ListParagraph"/>
        <w:numPr>
          <w:ilvl w:val="0"/>
          <w:numId w:val="1"/>
        </w:numPr>
        <w:tabs>
          <w:tab w:val="left" w:pos="474"/>
        </w:tabs>
        <w:ind w:right="271"/>
      </w:pPr>
      <w:r>
        <w:t>The "IN by Ana Hotels" loyalty program is available for the accumulation of bonus points, for services purchased in the following locations:</w:t>
      </w:r>
    </w:p>
    <w:p w14:paraId="4E296DC5" w14:textId="4792BED7" w:rsidR="00DB7AFC" w:rsidRDefault="00DB7AFC" w:rsidP="00DB7AFC">
      <w:pPr>
        <w:pStyle w:val="ListParagraph"/>
        <w:numPr>
          <w:ilvl w:val="0"/>
          <w:numId w:val="4"/>
        </w:numPr>
        <w:tabs>
          <w:tab w:val="left" w:pos="474"/>
        </w:tabs>
        <w:ind w:right="271"/>
      </w:pPr>
      <w:r>
        <w:t>Accommodation services at Hotel Sport, Hotel Bradul, Hotel Poiana and Hotel Europa;</w:t>
      </w:r>
    </w:p>
    <w:p w14:paraId="26650020" w14:textId="21D799D2" w:rsidR="00DB7AFC" w:rsidRDefault="00DB7AFC" w:rsidP="00DB7AFC">
      <w:pPr>
        <w:pStyle w:val="ListParagraph"/>
        <w:numPr>
          <w:ilvl w:val="0"/>
          <w:numId w:val="4"/>
        </w:numPr>
        <w:tabs>
          <w:tab w:val="left" w:pos="474"/>
        </w:tabs>
        <w:ind w:right="271"/>
      </w:pPr>
      <w:r>
        <w:t>The restaurants and bars at Hotel Sport, Hotel Europa and Hotel Crowne Plaza Bucharest</w:t>
      </w:r>
    </w:p>
    <w:p w14:paraId="0BC29223" w14:textId="6D9D5354" w:rsidR="00DB7AFC" w:rsidRDefault="00DB7AFC" w:rsidP="00DB7AFC">
      <w:pPr>
        <w:pStyle w:val="ListParagraph"/>
        <w:numPr>
          <w:ilvl w:val="0"/>
          <w:numId w:val="4"/>
        </w:numPr>
        <w:tabs>
          <w:tab w:val="left" w:pos="474"/>
        </w:tabs>
        <w:ind w:right="271"/>
      </w:pPr>
      <w:r>
        <w:t>Ana Health SPA from Eforie Nord and Sport Wellness SPA from Poiana Brasov (only for staying members).</w:t>
      </w:r>
    </w:p>
    <w:p w14:paraId="426CF945" w14:textId="78D753B2" w:rsidR="00DB7AFC" w:rsidRDefault="00DB7AFC" w:rsidP="00DB7AFC">
      <w:pPr>
        <w:pStyle w:val="ListParagraph"/>
        <w:numPr>
          <w:ilvl w:val="0"/>
          <w:numId w:val="1"/>
        </w:numPr>
        <w:tabs>
          <w:tab w:val="left" w:pos="474"/>
        </w:tabs>
        <w:ind w:right="271"/>
      </w:pPr>
      <w:r>
        <w:t>Enrollment in the program is free and can be done both online, application or hotel reception.</w:t>
      </w:r>
    </w:p>
    <w:p w14:paraId="69A39A84" w14:textId="1ECDA78F" w:rsidR="00DB7AFC" w:rsidRDefault="00DB7AFC" w:rsidP="00DB7AFC">
      <w:pPr>
        <w:pStyle w:val="ListParagraph"/>
        <w:numPr>
          <w:ilvl w:val="0"/>
          <w:numId w:val="1"/>
        </w:numPr>
        <w:tabs>
          <w:tab w:val="left" w:pos="474"/>
        </w:tabs>
        <w:ind w:right="271"/>
      </w:pPr>
      <w:r>
        <w:t>If, within one year from the date when the member obtained a higher level of status (according to grid 1), he will not manage to spend the equivalent of the minimum annual value corresponding to the status, then the member's status will be downgraded to the corresponding level the amount spent in the last 12 months.</w:t>
      </w:r>
    </w:p>
    <w:p w14:paraId="446B9A9C" w14:textId="2545F699" w:rsidR="00DB7AFC" w:rsidRDefault="00DB7AFC" w:rsidP="00DB7AFC">
      <w:pPr>
        <w:pStyle w:val="ListParagraph"/>
        <w:numPr>
          <w:ilvl w:val="0"/>
          <w:numId w:val="1"/>
        </w:numPr>
        <w:tabs>
          <w:tab w:val="left" w:pos="474"/>
        </w:tabs>
        <w:ind w:right="271"/>
      </w:pPr>
      <w:r>
        <w:t>The participant must agree with this regulation and provide the following information: name, surname, telephone number and e-mail address. If, after verification, the information is incomplete or wrong, Ana Hotels has the right to block the account.</w:t>
      </w:r>
    </w:p>
    <w:p w14:paraId="6F1738A6" w14:textId="0581DEC0" w:rsidR="00DB7AFC" w:rsidRDefault="00DB7AFC" w:rsidP="00DB7AFC">
      <w:pPr>
        <w:pStyle w:val="ListParagraph"/>
        <w:numPr>
          <w:ilvl w:val="0"/>
          <w:numId w:val="1"/>
        </w:numPr>
        <w:tabs>
          <w:tab w:val="left" w:pos="474"/>
        </w:tabs>
        <w:ind w:right="271"/>
      </w:pPr>
      <w:r>
        <w:t>Ana Hotels SRL cannot be held responsible in case the account is used by people other than those enrolled in the "IN by Ana Hotels" loyalty program</w:t>
      </w:r>
    </w:p>
    <w:p w14:paraId="68E51A4F" w14:textId="76CBC7CF" w:rsidR="00DB7AFC" w:rsidRDefault="00DB7AFC" w:rsidP="00DB7AFC">
      <w:pPr>
        <w:pStyle w:val="ListParagraph"/>
        <w:numPr>
          <w:ilvl w:val="0"/>
          <w:numId w:val="1"/>
        </w:numPr>
        <w:tabs>
          <w:tab w:val="left" w:pos="474"/>
        </w:tabs>
        <w:ind w:right="271"/>
      </w:pPr>
      <w:r>
        <w:t>In case of fraudulent access to the account (account breach), please notify the Marketing Department of Ana Hotels, at the following email address loyalty@anahotels.ro or at the hotel receptions. Ana Hotels SRL is not responsible for the bonuses spent from the "IN by Ana Hotels" member's account in the period of time until the announcement of the breach of the account.</w:t>
      </w:r>
    </w:p>
    <w:p w14:paraId="382F3904" w14:textId="32132491" w:rsidR="00DB7AFC" w:rsidRDefault="00DB7AFC" w:rsidP="00DB7AFC">
      <w:pPr>
        <w:pStyle w:val="ListParagraph"/>
        <w:numPr>
          <w:ilvl w:val="0"/>
          <w:numId w:val="1"/>
        </w:numPr>
        <w:tabs>
          <w:tab w:val="left" w:pos="474"/>
        </w:tabs>
        <w:ind w:right="271"/>
      </w:pPr>
      <w:r>
        <w:t>Any member of the "IN by Ana Hotels" loyalty program benefits from the advantages and benefits</w:t>
      </w:r>
    </w:p>
    <w:p w14:paraId="06AB3303" w14:textId="77777777" w:rsidR="00DB7AFC" w:rsidRDefault="00DB7AFC" w:rsidP="00DB7AFC">
      <w:pPr>
        <w:pStyle w:val="ListParagraph"/>
        <w:numPr>
          <w:ilvl w:val="0"/>
          <w:numId w:val="1"/>
        </w:numPr>
        <w:tabs>
          <w:tab w:val="left" w:pos="474"/>
        </w:tabs>
        <w:ind w:right="271"/>
      </w:pPr>
      <w:r>
        <w:t>mentioned in Grid 2, according to the statute in Grid 1.</w:t>
      </w:r>
    </w:p>
    <w:p w14:paraId="70D0A46C" w14:textId="6324C817" w:rsidR="00DB7AFC" w:rsidRDefault="00DB7AFC" w:rsidP="00DB7AFC">
      <w:pPr>
        <w:pStyle w:val="ListParagraph"/>
        <w:numPr>
          <w:ilvl w:val="0"/>
          <w:numId w:val="1"/>
        </w:numPr>
        <w:tabs>
          <w:tab w:val="left" w:pos="474"/>
        </w:tabs>
        <w:ind w:right="271"/>
      </w:pPr>
      <w:r>
        <w:t>Improper or fraudulent use of the account related to the loyalty program "IN by Ana Hotels" and inappropriate behavior in any of the locations included in the program, may lead to the withdrawal of membership status and its exclusion from the loyalty program.</w:t>
      </w:r>
    </w:p>
    <w:p w14:paraId="0F40B521" w14:textId="13D3A833" w:rsidR="00DB7AFC" w:rsidRDefault="00DB7AFC" w:rsidP="00DB7AFC">
      <w:pPr>
        <w:pStyle w:val="ListParagraph"/>
        <w:numPr>
          <w:ilvl w:val="0"/>
          <w:numId w:val="1"/>
        </w:numPr>
        <w:tabs>
          <w:tab w:val="left" w:pos="474"/>
        </w:tabs>
        <w:ind w:right="271"/>
      </w:pPr>
      <w:r>
        <w:t>The value of the accumulated bonuses cannot be given in cash. The amounts obtained from the bonuses of two or more status holders within the loyalty program cannot be accumulated.</w:t>
      </w:r>
    </w:p>
    <w:p w14:paraId="40716A10" w14:textId="3C01F01F" w:rsidR="00DB7AFC" w:rsidRDefault="00DB7AFC" w:rsidP="00DB7AFC">
      <w:pPr>
        <w:pStyle w:val="ListParagraph"/>
        <w:numPr>
          <w:ilvl w:val="0"/>
          <w:numId w:val="1"/>
        </w:numPr>
        <w:tabs>
          <w:tab w:val="left" w:pos="474"/>
        </w:tabs>
        <w:ind w:right="271"/>
      </w:pPr>
      <w:r>
        <w:t>Ana Hotels SRL reserves the right to decide to terminate the loyalty program or to cancel the account at any time.</w:t>
      </w:r>
    </w:p>
    <w:p w14:paraId="59FEAEB2" w14:textId="362773EF" w:rsidR="00DB7AFC" w:rsidRDefault="00DB7AFC" w:rsidP="00DB7AFC">
      <w:pPr>
        <w:pStyle w:val="ListParagraph"/>
        <w:numPr>
          <w:ilvl w:val="0"/>
          <w:numId w:val="1"/>
        </w:numPr>
        <w:tabs>
          <w:tab w:val="left" w:pos="474"/>
        </w:tabs>
        <w:ind w:right="271"/>
      </w:pPr>
      <w:r>
        <w:t>The "IN by Ana Hotels" loyalty program is not a lottery, each member receiving the bonus related to the purchases made and the bonus and benefit grids (Grid 1 and 2) in which they fit according to the specifications.</w:t>
      </w:r>
    </w:p>
    <w:p w14:paraId="1A80B610" w14:textId="77777777" w:rsidR="00DB7AFC" w:rsidRDefault="00DB7AFC" w:rsidP="00DB7AFC">
      <w:pPr>
        <w:pStyle w:val="ListParagraph"/>
        <w:tabs>
          <w:tab w:val="left" w:pos="474"/>
        </w:tabs>
        <w:ind w:right="271" w:firstLine="0"/>
      </w:pPr>
    </w:p>
    <w:p w14:paraId="2349E0A6" w14:textId="77777777" w:rsidR="00BE20E6" w:rsidRPr="00BE20E6" w:rsidRDefault="00BE20E6" w:rsidP="00BE20E6">
      <w:pPr>
        <w:tabs>
          <w:tab w:val="left" w:pos="474"/>
        </w:tabs>
        <w:ind w:right="271"/>
        <w:rPr>
          <w:b/>
          <w:bCs/>
        </w:rPr>
      </w:pPr>
      <w:r w:rsidRPr="00BE20E6">
        <w:rPr>
          <w:b/>
          <w:bCs/>
        </w:rPr>
        <w:t>Art. 8 – Privacy policy</w:t>
      </w:r>
    </w:p>
    <w:p w14:paraId="643BF6ED" w14:textId="77777777" w:rsidR="00BE20E6" w:rsidRPr="00BE20E6" w:rsidRDefault="00BE20E6" w:rsidP="00BE20E6">
      <w:pPr>
        <w:tabs>
          <w:tab w:val="left" w:pos="474"/>
        </w:tabs>
        <w:ind w:right="271"/>
        <w:rPr>
          <w:b/>
          <w:bCs/>
        </w:rPr>
      </w:pPr>
    </w:p>
    <w:p w14:paraId="2DA6FC50" w14:textId="0714CF17" w:rsidR="00BE20E6" w:rsidRPr="00BE20E6" w:rsidRDefault="00BE20E6" w:rsidP="00BE20E6">
      <w:pPr>
        <w:tabs>
          <w:tab w:val="left" w:pos="474"/>
        </w:tabs>
        <w:ind w:right="271"/>
        <w:rPr>
          <w:b/>
          <w:bCs/>
        </w:rPr>
      </w:pPr>
      <w:r w:rsidRPr="00BE20E6">
        <w:rPr>
          <w:b/>
          <w:bCs/>
        </w:rPr>
        <w:t>INFORMATION NOTE regarding the application of the provisions of the General Data Protection Regulation with</w:t>
      </w:r>
      <w:r>
        <w:rPr>
          <w:b/>
          <w:bCs/>
        </w:rPr>
        <w:t xml:space="preserve"> </w:t>
      </w:r>
      <w:r w:rsidRPr="00BE20E6">
        <w:rPr>
          <w:b/>
          <w:bCs/>
        </w:rPr>
        <w:t>Personal Character in the process of joining the "IN by Ana Hotels" loyalty program:</w:t>
      </w:r>
    </w:p>
    <w:p w14:paraId="30100637" w14:textId="77777777" w:rsidR="00BE20E6" w:rsidRDefault="00BE20E6" w:rsidP="00BE20E6">
      <w:pPr>
        <w:tabs>
          <w:tab w:val="left" w:pos="474"/>
        </w:tabs>
        <w:ind w:right="271"/>
        <w:rPr>
          <w:b/>
          <w:bCs/>
        </w:rPr>
      </w:pPr>
    </w:p>
    <w:p w14:paraId="47C20259" w14:textId="53A9B19F" w:rsidR="00BE20E6" w:rsidRPr="00BE20E6" w:rsidRDefault="00BE20E6" w:rsidP="00BE20E6">
      <w:pPr>
        <w:tabs>
          <w:tab w:val="left" w:pos="474"/>
        </w:tabs>
        <w:ind w:right="271"/>
      </w:pPr>
      <w:r w:rsidRPr="00BE20E6">
        <w:t xml:space="preserve">ANA HOTELS SRL is interested in respecting your privacy, therefore, our privacy policy and all related </w:t>
      </w:r>
      <w:r w:rsidRPr="00BE20E6">
        <w:lastRenderedPageBreak/>
        <w:t>procedures comply with the General Regulation for the Protection of Personal Data. You can find all the information related to this topic at: http://www.anahotels.ro/privacypolicy-ro.html</w:t>
      </w:r>
    </w:p>
    <w:p w14:paraId="78E0E945" w14:textId="77777777" w:rsidR="00BE20E6" w:rsidRPr="00BE20E6" w:rsidRDefault="00BE20E6" w:rsidP="00BE20E6">
      <w:pPr>
        <w:tabs>
          <w:tab w:val="left" w:pos="474"/>
        </w:tabs>
        <w:ind w:right="271"/>
        <w:rPr>
          <w:b/>
          <w:bCs/>
        </w:rPr>
      </w:pPr>
    </w:p>
    <w:p w14:paraId="6761ED35" w14:textId="77777777" w:rsidR="00BE20E6" w:rsidRPr="00BE20E6" w:rsidRDefault="00BE20E6" w:rsidP="00BE20E6">
      <w:pPr>
        <w:tabs>
          <w:tab w:val="left" w:pos="474"/>
        </w:tabs>
        <w:ind w:right="271"/>
        <w:rPr>
          <w:b/>
          <w:bCs/>
        </w:rPr>
      </w:pPr>
      <w:r w:rsidRPr="00BE20E6">
        <w:rPr>
          <w:b/>
          <w:bCs/>
        </w:rPr>
        <w:t>PRIVACY NOTICE</w:t>
      </w:r>
    </w:p>
    <w:p w14:paraId="32D5EEE2" w14:textId="77777777" w:rsidR="00BE20E6" w:rsidRPr="00BE20E6" w:rsidRDefault="00BE20E6" w:rsidP="00BE20E6">
      <w:pPr>
        <w:tabs>
          <w:tab w:val="left" w:pos="474"/>
        </w:tabs>
        <w:ind w:right="271"/>
      </w:pPr>
      <w:r w:rsidRPr="00BE20E6">
        <w:t>The hotels CROWNE PLAZA BUCHAREST, INTERCONTINENTAL ATHENEE PALACE (Bucharest), EUROPA (Eforie Nord), BRADUL, SPORT and POIANA (Poiana Brasov) belong to ANA HOTELS SRL. In the following you can find the information that will explain how we collect personal data in the process of joining the Loyalty program "IN by Ana Hotels" www.anahotels.ro</w:t>
      </w:r>
    </w:p>
    <w:p w14:paraId="543A2BC4" w14:textId="77777777" w:rsidR="00BE20E6" w:rsidRPr="00BE20E6" w:rsidRDefault="00BE20E6" w:rsidP="00BE20E6">
      <w:pPr>
        <w:tabs>
          <w:tab w:val="left" w:pos="474"/>
        </w:tabs>
        <w:ind w:right="271"/>
      </w:pPr>
    </w:p>
    <w:p w14:paraId="56ADEBF9" w14:textId="0668000A" w:rsidR="00BE20E6" w:rsidRPr="00BE20E6" w:rsidRDefault="00BE20E6" w:rsidP="00BE20E6">
      <w:pPr>
        <w:tabs>
          <w:tab w:val="left" w:pos="474"/>
        </w:tabs>
        <w:ind w:right="271"/>
        <w:rPr>
          <w:b/>
          <w:bCs/>
        </w:rPr>
      </w:pPr>
      <w:r w:rsidRPr="00BE20E6">
        <w:rPr>
          <w:b/>
          <w:bCs/>
        </w:rPr>
        <w:t>WHAT INFORMATION DO WE COLLECT ABOUT YOU?</w:t>
      </w:r>
    </w:p>
    <w:p w14:paraId="69428D44" w14:textId="77777777" w:rsidR="00BE20E6" w:rsidRPr="00BE20E6" w:rsidRDefault="00BE20E6" w:rsidP="00BE20E6">
      <w:pPr>
        <w:tabs>
          <w:tab w:val="left" w:pos="474"/>
        </w:tabs>
        <w:ind w:right="271"/>
      </w:pPr>
      <w:r w:rsidRPr="00BE20E6">
        <w:t>To join the "IN by Ana Hotels" loyalty program, we need the following personal data: name and surname; phone number; email address; spoken language. Your phone number and e-mail address are necessary for us to be able to inform you about the status of the application for membership.</w:t>
      </w:r>
    </w:p>
    <w:p w14:paraId="3932536D" w14:textId="77777777" w:rsidR="00BE20E6" w:rsidRPr="00BE20E6" w:rsidRDefault="00BE20E6" w:rsidP="00BE20E6">
      <w:pPr>
        <w:tabs>
          <w:tab w:val="left" w:pos="474"/>
        </w:tabs>
        <w:ind w:right="271"/>
        <w:rPr>
          <w:b/>
          <w:bCs/>
        </w:rPr>
      </w:pPr>
    </w:p>
    <w:p w14:paraId="5AB761C0" w14:textId="77777777" w:rsidR="00BE20E6" w:rsidRPr="00BE20E6" w:rsidRDefault="00BE20E6" w:rsidP="00BE20E6">
      <w:pPr>
        <w:tabs>
          <w:tab w:val="left" w:pos="474"/>
        </w:tabs>
        <w:ind w:right="271"/>
        <w:rPr>
          <w:b/>
          <w:bCs/>
        </w:rPr>
      </w:pPr>
      <w:r w:rsidRPr="00BE20E6">
        <w:rPr>
          <w:b/>
          <w:bCs/>
        </w:rPr>
        <w:t>HOW DO WE USE INFORMATION ABOUT YOU?</w:t>
      </w:r>
    </w:p>
    <w:p w14:paraId="482DE4D5" w14:textId="77777777" w:rsidR="00BE20E6" w:rsidRPr="00BE20E6" w:rsidRDefault="00BE20E6" w:rsidP="00BE20E6">
      <w:pPr>
        <w:tabs>
          <w:tab w:val="left" w:pos="474"/>
        </w:tabs>
        <w:ind w:right="271"/>
      </w:pPr>
      <w:r w:rsidRPr="00BE20E6">
        <w:t>All this information is necessary for us out of legitimate interest, to enroll you in our loyalty program. We do not sell your data to other entities. They are stored on our servers for a period of 24 months after your last stay with us, and then they are automatically deleted.</w:t>
      </w:r>
    </w:p>
    <w:p w14:paraId="23B0904E" w14:textId="77777777" w:rsidR="00BE20E6" w:rsidRPr="00BE20E6" w:rsidRDefault="00BE20E6" w:rsidP="00BE20E6">
      <w:pPr>
        <w:tabs>
          <w:tab w:val="left" w:pos="474"/>
        </w:tabs>
        <w:ind w:right="271"/>
        <w:rPr>
          <w:b/>
          <w:bCs/>
        </w:rPr>
      </w:pPr>
    </w:p>
    <w:p w14:paraId="479CBA68" w14:textId="77777777" w:rsidR="00BE20E6" w:rsidRPr="00BE20E6" w:rsidRDefault="00BE20E6" w:rsidP="00BE20E6">
      <w:pPr>
        <w:tabs>
          <w:tab w:val="left" w:pos="474"/>
        </w:tabs>
        <w:ind w:right="271"/>
        <w:rPr>
          <w:b/>
          <w:bCs/>
        </w:rPr>
      </w:pPr>
      <w:r w:rsidRPr="00BE20E6">
        <w:rPr>
          <w:b/>
          <w:bCs/>
        </w:rPr>
        <w:t>MARKETING</w:t>
      </w:r>
    </w:p>
    <w:p w14:paraId="62A7F8DA" w14:textId="77777777" w:rsidR="00BE20E6" w:rsidRPr="00BE20E6" w:rsidRDefault="00BE20E6" w:rsidP="00BE20E6">
      <w:pPr>
        <w:tabs>
          <w:tab w:val="left" w:pos="474"/>
        </w:tabs>
        <w:ind w:right="271"/>
      </w:pPr>
      <w:r w:rsidRPr="00BE20E6">
        <w:t>We will not send you, for marketing purposes, any information about our hotel. During the enrollment procedure (or afterwards), if you wish, you can give us your consent to keep you up to date with our offers, sent to your personal e-mail address. If you have accepted this, you can always stop receiving offers from us, through a simple unsubscribe process.</w:t>
      </w:r>
    </w:p>
    <w:p w14:paraId="6102B190" w14:textId="77777777" w:rsidR="00BE20E6" w:rsidRPr="00BE20E6" w:rsidRDefault="00BE20E6" w:rsidP="00BE20E6">
      <w:pPr>
        <w:tabs>
          <w:tab w:val="left" w:pos="474"/>
        </w:tabs>
        <w:ind w:right="271"/>
        <w:rPr>
          <w:b/>
          <w:bCs/>
        </w:rPr>
      </w:pPr>
    </w:p>
    <w:p w14:paraId="3F62D082" w14:textId="77777777" w:rsidR="00BE20E6" w:rsidRPr="00BE20E6" w:rsidRDefault="00BE20E6" w:rsidP="00BE20E6">
      <w:pPr>
        <w:tabs>
          <w:tab w:val="left" w:pos="474"/>
        </w:tabs>
        <w:ind w:right="271"/>
        <w:rPr>
          <w:b/>
          <w:bCs/>
        </w:rPr>
      </w:pPr>
      <w:r w:rsidRPr="00BE20E6">
        <w:rPr>
          <w:b/>
          <w:bCs/>
        </w:rPr>
        <w:t>ACCESS TO INFORMATION, CORRECTION OF DATA AND COMPLAINTS</w:t>
      </w:r>
    </w:p>
    <w:p w14:paraId="4CE5D3FB" w14:textId="77777777" w:rsidR="00BE20E6" w:rsidRPr="00BE20E6" w:rsidRDefault="00BE20E6" w:rsidP="00BE20E6">
      <w:pPr>
        <w:tabs>
          <w:tab w:val="left" w:pos="474"/>
        </w:tabs>
        <w:ind w:right="271"/>
      </w:pPr>
      <w:r w:rsidRPr="00BE20E6">
        <w:t>We want to assure you that all your rights are respected and that your personal data is fully protected. You have the right to request a copy of the information we hold about you, to request the rectification or deletion of the respective data, or to request the restriction of data processing. If you want to do any of the above operations, please write us an email directly from the email address used in correspondence with us. The contact details of the department dealing with the protection of personal data are: dpo@anahotels.ro</w:t>
      </w:r>
    </w:p>
    <w:p w14:paraId="28022C56" w14:textId="77777777" w:rsidR="00BE20E6" w:rsidRPr="00BE20E6" w:rsidRDefault="00BE20E6" w:rsidP="00BE20E6">
      <w:pPr>
        <w:tabs>
          <w:tab w:val="left" w:pos="474"/>
        </w:tabs>
        <w:ind w:right="271"/>
        <w:rPr>
          <w:b/>
          <w:bCs/>
        </w:rPr>
      </w:pPr>
    </w:p>
    <w:p w14:paraId="766BA526" w14:textId="5CC69012" w:rsidR="00BE20E6" w:rsidRPr="00BE20E6" w:rsidRDefault="00BE20E6" w:rsidP="00BE20E6">
      <w:pPr>
        <w:tabs>
          <w:tab w:val="left" w:pos="474"/>
        </w:tabs>
        <w:ind w:right="271"/>
        <w:rPr>
          <w:i/>
          <w:iCs/>
        </w:rPr>
      </w:pPr>
      <w:r w:rsidRPr="00BE20E6">
        <w:rPr>
          <w:i/>
          <w:iCs/>
        </w:rPr>
        <w:t>You have the right to complain to the National Supervisory Authority for the Processing of Personal Data. This is the control body to which you can turn if you believe that your requests have not been resolved according to the law. More information can be found at the following address:</w:t>
      </w:r>
      <w:r>
        <w:rPr>
          <w:i/>
          <w:iCs/>
        </w:rPr>
        <w:t xml:space="preserve"> </w:t>
      </w:r>
      <w:r w:rsidRPr="00BE20E6">
        <w:rPr>
          <w:i/>
          <w:iCs/>
        </w:rPr>
        <w:t>http://www.dataprotection.ro/?page=contact</w:t>
      </w:r>
    </w:p>
    <w:p w14:paraId="1AAB8EB4" w14:textId="77777777" w:rsidR="00BE20E6" w:rsidRPr="00BE20E6" w:rsidRDefault="00BE20E6" w:rsidP="00BE20E6">
      <w:pPr>
        <w:tabs>
          <w:tab w:val="left" w:pos="474"/>
        </w:tabs>
        <w:ind w:right="271"/>
        <w:rPr>
          <w:b/>
          <w:bCs/>
        </w:rPr>
      </w:pPr>
    </w:p>
    <w:p w14:paraId="428E5872" w14:textId="77777777" w:rsidR="00BE20E6" w:rsidRPr="00BE20E6" w:rsidRDefault="00BE20E6" w:rsidP="00BE20E6">
      <w:pPr>
        <w:tabs>
          <w:tab w:val="left" w:pos="474"/>
        </w:tabs>
        <w:ind w:right="271"/>
        <w:rPr>
          <w:b/>
          <w:bCs/>
        </w:rPr>
      </w:pPr>
      <w:r w:rsidRPr="00BE20E6">
        <w:rPr>
          <w:b/>
          <w:bCs/>
        </w:rPr>
        <w:t>Art. 9 – Other Clauses</w:t>
      </w:r>
    </w:p>
    <w:p w14:paraId="69E3EB12" w14:textId="77777777" w:rsidR="00BE20E6" w:rsidRPr="00BE20E6" w:rsidRDefault="00BE20E6" w:rsidP="00BE20E6">
      <w:pPr>
        <w:tabs>
          <w:tab w:val="left" w:pos="474"/>
        </w:tabs>
        <w:ind w:right="271"/>
        <w:rPr>
          <w:b/>
          <w:bCs/>
        </w:rPr>
      </w:pPr>
    </w:p>
    <w:p w14:paraId="67BE13B0" w14:textId="2312F51F" w:rsidR="00BE20E6" w:rsidRPr="00BE20E6" w:rsidRDefault="00BE20E6" w:rsidP="00BE20E6">
      <w:pPr>
        <w:tabs>
          <w:tab w:val="left" w:pos="474"/>
        </w:tabs>
        <w:ind w:right="271"/>
      </w:pPr>
      <w:r w:rsidRPr="00BE20E6">
        <w:t>Ana Hotels SRL reserves the right to modify these Regulations during the existence of the "IN by Ana Hotels" loyalty program, without prior notification. The modified version will be made known to the members by posting it on the website www.anahotels.ro.</w:t>
      </w:r>
    </w:p>
    <w:p w14:paraId="02063456" w14:textId="5AE9EF8F" w:rsidR="00BE20E6" w:rsidRPr="00BE20E6" w:rsidRDefault="00BE20E6" w:rsidP="00BE20E6">
      <w:pPr>
        <w:tabs>
          <w:tab w:val="left" w:pos="474"/>
        </w:tabs>
        <w:ind w:right="271"/>
      </w:pPr>
      <w:r w:rsidRPr="00BE20E6">
        <w:t>For any other information or concerns, you can contact the Marketing Department at the email address loyalty@anahotels.ro</w:t>
      </w:r>
    </w:p>
    <w:p w14:paraId="43128236" w14:textId="77777777" w:rsidR="00BE20E6" w:rsidRPr="00BE20E6" w:rsidRDefault="00BE20E6" w:rsidP="00BE20E6">
      <w:pPr>
        <w:tabs>
          <w:tab w:val="left" w:pos="474"/>
        </w:tabs>
        <w:ind w:right="271"/>
      </w:pPr>
    </w:p>
    <w:p w14:paraId="381A2996" w14:textId="77777777" w:rsidR="00BE20E6" w:rsidRPr="00BE20E6" w:rsidRDefault="00BE20E6" w:rsidP="00BE20E6">
      <w:pPr>
        <w:tabs>
          <w:tab w:val="left" w:pos="474"/>
        </w:tabs>
        <w:ind w:right="271"/>
      </w:pPr>
    </w:p>
    <w:p w14:paraId="5EBA3369" w14:textId="77777777" w:rsidR="00BE20E6" w:rsidRPr="00BE20E6" w:rsidRDefault="00BE20E6" w:rsidP="00BE20E6">
      <w:pPr>
        <w:tabs>
          <w:tab w:val="left" w:pos="474"/>
        </w:tabs>
        <w:ind w:right="271"/>
      </w:pPr>
      <w:r w:rsidRPr="00BE20E6">
        <w:t>Updated on January 30, 2024</w:t>
      </w:r>
    </w:p>
    <w:p w14:paraId="526673F9" w14:textId="29BA5930" w:rsidR="00DB11BD" w:rsidRPr="00BE20E6" w:rsidRDefault="00DB11BD" w:rsidP="00BE20E6">
      <w:pPr>
        <w:tabs>
          <w:tab w:val="left" w:pos="474"/>
        </w:tabs>
        <w:ind w:right="271"/>
      </w:pPr>
    </w:p>
    <w:sectPr w:rsidR="00DB11BD" w:rsidRPr="00BE20E6">
      <w:pgSz w:w="11920" w:h="16860"/>
      <w:pgMar w:top="1580" w:right="1000" w:bottom="1000" w:left="1020" w:header="598"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42A2" w14:textId="77777777" w:rsidR="00AC1045" w:rsidRDefault="00AC1045">
      <w:r>
        <w:separator/>
      </w:r>
    </w:p>
  </w:endnote>
  <w:endnote w:type="continuationSeparator" w:id="0">
    <w:p w14:paraId="05D3AAE2" w14:textId="77777777" w:rsidR="00AC1045" w:rsidRDefault="00AC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D891" w14:textId="7EC0C155" w:rsidR="005D2232" w:rsidRDefault="0064554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D8F168A" wp14:editId="03841FB3">
              <wp:simplePos x="0" y="0"/>
              <wp:positionH relativeFrom="page">
                <wp:posOffset>681355</wp:posOffset>
              </wp:positionH>
              <wp:positionV relativeFrom="page">
                <wp:posOffset>10041255</wp:posOffset>
              </wp:positionV>
              <wp:extent cx="146050" cy="139700"/>
              <wp:effectExtent l="0" t="0" r="0" b="0"/>
              <wp:wrapNone/>
              <wp:docPr id="5096625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06527" w14:textId="77777777" w:rsidR="005D2232" w:rsidRDefault="00B316EF">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2</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F168A" id="_x0000_t202" coordsize="21600,21600" o:spt="202" path="m,l,21600r21600,l21600,xe">
              <v:stroke joinstyle="miter"/>
              <v:path gradientshapeok="t" o:connecttype="rect"/>
            </v:shapetype>
            <v:shape id="Text Box 1" o:spid="_x0000_s1026" type="#_x0000_t202" style="position:absolute;margin-left:53.65pt;margin-top:790.65pt;width:11.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" filled="f" stroked="f">
              <v:textbox inset="0,0,0,0">
                <w:txbxContent>
                  <w:p w14:paraId="65606527" w14:textId="77777777" w:rsidR="005D2232" w:rsidRDefault="00B316EF">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2</w:t>
                    </w:r>
                    <w:r>
                      <w:rPr>
                        <w:rFonts w:ascii="Arial"/>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8609" w14:textId="77777777" w:rsidR="00AC1045" w:rsidRDefault="00AC1045">
      <w:r>
        <w:separator/>
      </w:r>
    </w:p>
  </w:footnote>
  <w:footnote w:type="continuationSeparator" w:id="0">
    <w:p w14:paraId="062F890E" w14:textId="77777777" w:rsidR="00AC1045" w:rsidRDefault="00AC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3B60" w14:textId="77777777" w:rsidR="005D2232" w:rsidRDefault="00B316EF">
    <w:pPr>
      <w:pStyle w:val="BodyText"/>
      <w:spacing w:line="14" w:lineRule="auto"/>
      <w:rPr>
        <w:sz w:val="20"/>
      </w:rPr>
    </w:pPr>
    <w:r>
      <w:rPr>
        <w:noProof/>
      </w:rPr>
      <w:drawing>
        <wp:anchor distT="0" distB="0" distL="0" distR="0" simplePos="0" relativeHeight="251658752" behindDoc="1" locked="0" layoutInCell="1" allowOverlap="1" wp14:anchorId="15002389" wp14:editId="415FF518">
          <wp:simplePos x="0" y="0"/>
          <wp:positionH relativeFrom="page">
            <wp:posOffset>887094</wp:posOffset>
          </wp:positionH>
          <wp:positionV relativeFrom="page">
            <wp:posOffset>379730</wp:posOffset>
          </wp:positionV>
          <wp:extent cx="1150023" cy="358775"/>
          <wp:effectExtent l="0" t="0" r="0" b="0"/>
          <wp:wrapNone/>
          <wp:docPr id="20644856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50023" cy="3587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2829" w14:textId="77777777" w:rsidR="005D2232" w:rsidRDefault="00B316EF">
    <w:pPr>
      <w:pStyle w:val="BodyText"/>
      <w:spacing w:line="14" w:lineRule="auto"/>
      <w:rPr>
        <w:sz w:val="20"/>
      </w:rPr>
    </w:pPr>
    <w:r>
      <w:rPr>
        <w:noProof/>
      </w:rPr>
      <w:drawing>
        <wp:anchor distT="0" distB="0" distL="0" distR="0" simplePos="0" relativeHeight="251656704" behindDoc="1" locked="0" layoutInCell="1" allowOverlap="1" wp14:anchorId="194A67A6" wp14:editId="5676FB2F">
          <wp:simplePos x="0" y="0"/>
          <wp:positionH relativeFrom="page">
            <wp:posOffset>887094</wp:posOffset>
          </wp:positionH>
          <wp:positionV relativeFrom="page">
            <wp:posOffset>379730</wp:posOffset>
          </wp:positionV>
          <wp:extent cx="1150023" cy="3587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50023" cy="35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057F"/>
    <w:multiLevelType w:val="hybridMultilevel"/>
    <w:tmpl w:val="EED616AE"/>
    <w:lvl w:ilvl="0" w:tplc="9170FA9E">
      <w:numFmt w:val="bullet"/>
      <w:lvlText w:val="-"/>
      <w:lvlJc w:val="left"/>
      <w:pPr>
        <w:ind w:left="473" w:hanging="363"/>
      </w:pPr>
      <w:rPr>
        <w:rFonts w:ascii="Times New Roman" w:eastAsia="Times New Roman" w:hAnsi="Times New Roman" w:cs="Times New Roman" w:hint="default"/>
        <w:b w:val="0"/>
        <w:bCs w:val="0"/>
        <w:i w:val="0"/>
        <w:iCs w:val="0"/>
        <w:w w:val="100"/>
        <w:sz w:val="22"/>
        <w:szCs w:val="22"/>
        <w:lang w:val="en-US" w:eastAsia="en-US" w:bidi="ar-SA"/>
      </w:rPr>
    </w:lvl>
    <w:lvl w:ilvl="1" w:tplc="0994D356">
      <w:numFmt w:val="bullet"/>
      <w:lvlText w:val="•"/>
      <w:lvlJc w:val="left"/>
      <w:pPr>
        <w:ind w:left="1421" w:hanging="363"/>
      </w:pPr>
      <w:rPr>
        <w:rFonts w:hint="default"/>
        <w:lang w:val="en-US" w:eastAsia="en-US" w:bidi="ar-SA"/>
      </w:rPr>
    </w:lvl>
    <w:lvl w:ilvl="2" w:tplc="464C4812">
      <w:numFmt w:val="bullet"/>
      <w:lvlText w:val="•"/>
      <w:lvlJc w:val="left"/>
      <w:pPr>
        <w:ind w:left="2362" w:hanging="363"/>
      </w:pPr>
      <w:rPr>
        <w:rFonts w:hint="default"/>
        <w:lang w:val="en-US" w:eastAsia="en-US" w:bidi="ar-SA"/>
      </w:rPr>
    </w:lvl>
    <w:lvl w:ilvl="3" w:tplc="408A3A2A">
      <w:numFmt w:val="bullet"/>
      <w:lvlText w:val="•"/>
      <w:lvlJc w:val="left"/>
      <w:pPr>
        <w:ind w:left="3303" w:hanging="363"/>
      </w:pPr>
      <w:rPr>
        <w:rFonts w:hint="default"/>
        <w:lang w:val="en-US" w:eastAsia="en-US" w:bidi="ar-SA"/>
      </w:rPr>
    </w:lvl>
    <w:lvl w:ilvl="4" w:tplc="ECE6B4D0">
      <w:numFmt w:val="bullet"/>
      <w:lvlText w:val="•"/>
      <w:lvlJc w:val="left"/>
      <w:pPr>
        <w:ind w:left="4244" w:hanging="363"/>
      </w:pPr>
      <w:rPr>
        <w:rFonts w:hint="default"/>
        <w:lang w:val="en-US" w:eastAsia="en-US" w:bidi="ar-SA"/>
      </w:rPr>
    </w:lvl>
    <w:lvl w:ilvl="5" w:tplc="1F0687C8">
      <w:numFmt w:val="bullet"/>
      <w:lvlText w:val="•"/>
      <w:lvlJc w:val="left"/>
      <w:pPr>
        <w:ind w:left="5185" w:hanging="363"/>
      </w:pPr>
      <w:rPr>
        <w:rFonts w:hint="default"/>
        <w:lang w:val="en-US" w:eastAsia="en-US" w:bidi="ar-SA"/>
      </w:rPr>
    </w:lvl>
    <w:lvl w:ilvl="6" w:tplc="9AFAEAF2">
      <w:numFmt w:val="bullet"/>
      <w:lvlText w:val="•"/>
      <w:lvlJc w:val="left"/>
      <w:pPr>
        <w:ind w:left="6126" w:hanging="363"/>
      </w:pPr>
      <w:rPr>
        <w:rFonts w:hint="default"/>
        <w:lang w:val="en-US" w:eastAsia="en-US" w:bidi="ar-SA"/>
      </w:rPr>
    </w:lvl>
    <w:lvl w:ilvl="7" w:tplc="0B3C615C">
      <w:numFmt w:val="bullet"/>
      <w:lvlText w:val="•"/>
      <w:lvlJc w:val="left"/>
      <w:pPr>
        <w:ind w:left="7067" w:hanging="363"/>
      </w:pPr>
      <w:rPr>
        <w:rFonts w:hint="default"/>
        <w:lang w:val="en-US" w:eastAsia="en-US" w:bidi="ar-SA"/>
      </w:rPr>
    </w:lvl>
    <w:lvl w:ilvl="8" w:tplc="6C3A4D06">
      <w:numFmt w:val="bullet"/>
      <w:lvlText w:val="•"/>
      <w:lvlJc w:val="left"/>
      <w:pPr>
        <w:ind w:left="8008" w:hanging="363"/>
      </w:pPr>
      <w:rPr>
        <w:rFonts w:hint="default"/>
        <w:lang w:val="en-US" w:eastAsia="en-US" w:bidi="ar-SA"/>
      </w:rPr>
    </w:lvl>
  </w:abstractNum>
  <w:abstractNum w:abstractNumId="1" w15:restartNumberingAfterBreak="0">
    <w:nsid w:val="5B453BA7"/>
    <w:multiLevelType w:val="hybridMultilevel"/>
    <w:tmpl w:val="E982CF32"/>
    <w:lvl w:ilvl="0" w:tplc="04090001">
      <w:start w:val="1"/>
      <w:numFmt w:val="bullet"/>
      <w:lvlText w:val=""/>
      <w:lvlJc w:val="left"/>
      <w:pPr>
        <w:ind w:left="473"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193" w:hanging="360"/>
      </w:pPr>
      <w:rPr>
        <w:rFonts w:ascii="Wingdings" w:eastAsia="Wingdings" w:hAnsi="Wingdings" w:cs="Wingdings" w:hint="default"/>
        <w:b w:val="0"/>
        <w:bCs w:val="0"/>
        <w:i w:val="0"/>
        <w:iCs w:val="0"/>
        <w:w w:val="100"/>
        <w:sz w:val="22"/>
        <w:szCs w:val="22"/>
        <w:lang w:val="en-US" w:eastAsia="en-US" w:bidi="ar-SA"/>
      </w:rPr>
    </w:lvl>
    <w:lvl w:ilvl="2" w:tplc="FFFFFFFF">
      <w:numFmt w:val="bullet"/>
      <w:lvlText w:val="•"/>
      <w:lvlJc w:val="left"/>
      <w:pPr>
        <w:ind w:left="2165" w:hanging="360"/>
      </w:pPr>
      <w:rPr>
        <w:rFonts w:hint="default"/>
        <w:lang w:val="en-US" w:eastAsia="en-US" w:bidi="ar-SA"/>
      </w:rPr>
    </w:lvl>
    <w:lvl w:ilvl="3" w:tplc="FFFFFFFF">
      <w:numFmt w:val="bullet"/>
      <w:lvlText w:val="•"/>
      <w:lvlJc w:val="left"/>
      <w:pPr>
        <w:ind w:left="3131" w:hanging="360"/>
      </w:pPr>
      <w:rPr>
        <w:rFonts w:hint="default"/>
        <w:lang w:val="en-US" w:eastAsia="en-US" w:bidi="ar-SA"/>
      </w:rPr>
    </w:lvl>
    <w:lvl w:ilvl="4" w:tplc="FFFFFFFF">
      <w:numFmt w:val="bullet"/>
      <w:lvlText w:val="•"/>
      <w:lvlJc w:val="left"/>
      <w:pPr>
        <w:ind w:left="4097" w:hanging="360"/>
      </w:pPr>
      <w:rPr>
        <w:rFonts w:hint="default"/>
        <w:lang w:val="en-US" w:eastAsia="en-US" w:bidi="ar-SA"/>
      </w:rPr>
    </w:lvl>
    <w:lvl w:ilvl="5" w:tplc="FFFFFFFF">
      <w:numFmt w:val="bullet"/>
      <w:lvlText w:val="•"/>
      <w:lvlJc w:val="left"/>
      <w:pPr>
        <w:ind w:left="5062" w:hanging="360"/>
      </w:pPr>
      <w:rPr>
        <w:rFonts w:hint="default"/>
        <w:lang w:val="en-US" w:eastAsia="en-US" w:bidi="ar-SA"/>
      </w:rPr>
    </w:lvl>
    <w:lvl w:ilvl="6" w:tplc="FFFFFFFF">
      <w:numFmt w:val="bullet"/>
      <w:lvlText w:val="•"/>
      <w:lvlJc w:val="left"/>
      <w:pPr>
        <w:ind w:left="6028" w:hanging="360"/>
      </w:pPr>
      <w:rPr>
        <w:rFonts w:hint="default"/>
        <w:lang w:val="en-US" w:eastAsia="en-US" w:bidi="ar-SA"/>
      </w:rPr>
    </w:lvl>
    <w:lvl w:ilvl="7" w:tplc="FFFFFFFF">
      <w:numFmt w:val="bullet"/>
      <w:lvlText w:val="•"/>
      <w:lvlJc w:val="left"/>
      <w:pPr>
        <w:ind w:left="6994" w:hanging="360"/>
      </w:pPr>
      <w:rPr>
        <w:rFonts w:hint="default"/>
        <w:lang w:val="en-US" w:eastAsia="en-US" w:bidi="ar-SA"/>
      </w:rPr>
    </w:lvl>
    <w:lvl w:ilvl="8" w:tplc="FFFFFFFF">
      <w:numFmt w:val="bullet"/>
      <w:lvlText w:val="•"/>
      <w:lvlJc w:val="left"/>
      <w:pPr>
        <w:ind w:left="7959" w:hanging="360"/>
      </w:pPr>
      <w:rPr>
        <w:rFonts w:hint="default"/>
        <w:lang w:val="en-US" w:eastAsia="en-US" w:bidi="ar-SA"/>
      </w:rPr>
    </w:lvl>
  </w:abstractNum>
  <w:abstractNum w:abstractNumId="2" w15:restartNumberingAfterBreak="0">
    <w:nsid w:val="60207121"/>
    <w:multiLevelType w:val="hybridMultilevel"/>
    <w:tmpl w:val="60AE7510"/>
    <w:lvl w:ilvl="0" w:tplc="6B82DD14">
      <w:numFmt w:val="bullet"/>
      <w:lvlText w:val="-"/>
      <w:lvlJc w:val="left"/>
      <w:pPr>
        <w:ind w:left="473" w:hanging="360"/>
      </w:pPr>
      <w:rPr>
        <w:rFonts w:ascii="Calibri" w:eastAsia="Calibri" w:hAnsi="Calibri" w:cs="Calibri" w:hint="default"/>
        <w:b w:val="0"/>
        <w:bCs w:val="0"/>
        <w:i w:val="0"/>
        <w:iCs w:val="0"/>
        <w:w w:val="100"/>
        <w:sz w:val="22"/>
        <w:szCs w:val="22"/>
        <w:lang w:val="en-US" w:eastAsia="en-US" w:bidi="ar-SA"/>
      </w:rPr>
    </w:lvl>
    <w:lvl w:ilvl="1" w:tplc="F40C2F98">
      <w:numFmt w:val="bullet"/>
      <w:lvlText w:val=""/>
      <w:lvlJc w:val="left"/>
      <w:pPr>
        <w:ind w:left="1193" w:hanging="360"/>
      </w:pPr>
      <w:rPr>
        <w:rFonts w:ascii="Wingdings" w:eastAsia="Wingdings" w:hAnsi="Wingdings" w:cs="Wingdings" w:hint="default"/>
        <w:b w:val="0"/>
        <w:bCs w:val="0"/>
        <w:i w:val="0"/>
        <w:iCs w:val="0"/>
        <w:w w:val="100"/>
        <w:sz w:val="22"/>
        <w:szCs w:val="22"/>
        <w:lang w:val="en-US" w:eastAsia="en-US" w:bidi="ar-SA"/>
      </w:rPr>
    </w:lvl>
    <w:lvl w:ilvl="2" w:tplc="359C1B2A">
      <w:numFmt w:val="bullet"/>
      <w:lvlText w:val="•"/>
      <w:lvlJc w:val="left"/>
      <w:pPr>
        <w:ind w:left="2165" w:hanging="360"/>
      </w:pPr>
      <w:rPr>
        <w:rFonts w:hint="default"/>
        <w:lang w:val="en-US" w:eastAsia="en-US" w:bidi="ar-SA"/>
      </w:rPr>
    </w:lvl>
    <w:lvl w:ilvl="3" w:tplc="9706544E">
      <w:numFmt w:val="bullet"/>
      <w:lvlText w:val="•"/>
      <w:lvlJc w:val="left"/>
      <w:pPr>
        <w:ind w:left="3131" w:hanging="360"/>
      </w:pPr>
      <w:rPr>
        <w:rFonts w:hint="default"/>
        <w:lang w:val="en-US" w:eastAsia="en-US" w:bidi="ar-SA"/>
      </w:rPr>
    </w:lvl>
    <w:lvl w:ilvl="4" w:tplc="9BBAD41E">
      <w:numFmt w:val="bullet"/>
      <w:lvlText w:val="•"/>
      <w:lvlJc w:val="left"/>
      <w:pPr>
        <w:ind w:left="4097" w:hanging="360"/>
      </w:pPr>
      <w:rPr>
        <w:rFonts w:hint="default"/>
        <w:lang w:val="en-US" w:eastAsia="en-US" w:bidi="ar-SA"/>
      </w:rPr>
    </w:lvl>
    <w:lvl w:ilvl="5" w:tplc="1CD680CA">
      <w:numFmt w:val="bullet"/>
      <w:lvlText w:val="•"/>
      <w:lvlJc w:val="left"/>
      <w:pPr>
        <w:ind w:left="5062" w:hanging="360"/>
      </w:pPr>
      <w:rPr>
        <w:rFonts w:hint="default"/>
        <w:lang w:val="en-US" w:eastAsia="en-US" w:bidi="ar-SA"/>
      </w:rPr>
    </w:lvl>
    <w:lvl w:ilvl="6" w:tplc="4E24235E">
      <w:numFmt w:val="bullet"/>
      <w:lvlText w:val="•"/>
      <w:lvlJc w:val="left"/>
      <w:pPr>
        <w:ind w:left="6028" w:hanging="360"/>
      </w:pPr>
      <w:rPr>
        <w:rFonts w:hint="default"/>
        <w:lang w:val="en-US" w:eastAsia="en-US" w:bidi="ar-SA"/>
      </w:rPr>
    </w:lvl>
    <w:lvl w:ilvl="7" w:tplc="260869C0">
      <w:numFmt w:val="bullet"/>
      <w:lvlText w:val="•"/>
      <w:lvlJc w:val="left"/>
      <w:pPr>
        <w:ind w:left="6994" w:hanging="360"/>
      </w:pPr>
      <w:rPr>
        <w:rFonts w:hint="default"/>
        <w:lang w:val="en-US" w:eastAsia="en-US" w:bidi="ar-SA"/>
      </w:rPr>
    </w:lvl>
    <w:lvl w:ilvl="8" w:tplc="747C29FA">
      <w:numFmt w:val="bullet"/>
      <w:lvlText w:val="•"/>
      <w:lvlJc w:val="left"/>
      <w:pPr>
        <w:ind w:left="7959" w:hanging="360"/>
      </w:pPr>
      <w:rPr>
        <w:rFonts w:hint="default"/>
        <w:lang w:val="en-US" w:eastAsia="en-US" w:bidi="ar-SA"/>
      </w:rPr>
    </w:lvl>
  </w:abstractNum>
  <w:abstractNum w:abstractNumId="3" w15:restartNumberingAfterBreak="0">
    <w:nsid w:val="6DB03E25"/>
    <w:multiLevelType w:val="hybridMultilevel"/>
    <w:tmpl w:val="E924B318"/>
    <w:lvl w:ilvl="0" w:tplc="6B82DD14">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575699">
    <w:abstractNumId w:val="2"/>
  </w:num>
  <w:num w:numId="2" w16cid:durableId="1374234665">
    <w:abstractNumId w:val="0"/>
  </w:num>
  <w:num w:numId="3" w16cid:durableId="1589655114">
    <w:abstractNumId w:val="3"/>
  </w:num>
  <w:num w:numId="4" w16cid:durableId="62751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32"/>
    <w:rsid w:val="000D3E22"/>
    <w:rsid w:val="00120168"/>
    <w:rsid w:val="00172221"/>
    <w:rsid w:val="001A3F3C"/>
    <w:rsid w:val="00215A2C"/>
    <w:rsid w:val="002256CA"/>
    <w:rsid w:val="0027498B"/>
    <w:rsid w:val="002D2392"/>
    <w:rsid w:val="00391BD3"/>
    <w:rsid w:val="003B0511"/>
    <w:rsid w:val="003F338D"/>
    <w:rsid w:val="0047184B"/>
    <w:rsid w:val="004859A8"/>
    <w:rsid w:val="004D6A2C"/>
    <w:rsid w:val="004E2DC1"/>
    <w:rsid w:val="005651BB"/>
    <w:rsid w:val="00580A95"/>
    <w:rsid w:val="005D2232"/>
    <w:rsid w:val="005E5FB2"/>
    <w:rsid w:val="00614EA7"/>
    <w:rsid w:val="0064554E"/>
    <w:rsid w:val="00662B1F"/>
    <w:rsid w:val="006907E4"/>
    <w:rsid w:val="00701D9B"/>
    <w:rsid w:val="00711A03"/>
    <w:rsid w:val="00757B9E"/>
    <w:rsid w:val="007C6278"/>
    <w:rsid w:val="00836A91"/>
    <w:rsid w:val="00842136"/>
    <w:rsid w:val="00845A57"/>
    <w:rsid w:val="00860F00"/>
    <w:rsid w:val="00906FA6"/>
    <w:rsid w:val="00914B8E"/>
    <w:rsid w:val="009562F8"/>
    <w:rsid w:val="009E3C91"/>
    <w:rsid w:val="00A42B8A"/>
    <w:rsid w:val="00AA1DE2"/>
    <w:rsid w:val="00AC1045"/>
    <w:rsid w:val="00B316EF"/>
    <w:rsid w:val="00B80C0E"/>
    <w:rsid w:val="00BE20E6"/>
    <w:rsid w:val="00C14023"/>
    <w:rsid w:val="00CF76C4"/>
    <w:rsid w:val="00D007F4"/>
    <w:rsid w:val="00D54601"/>
    <w:rsid w:val="00DB11BD"/>
    <w:rsid w:val="00DB316A"/>
    <w:rsid w:val="00DB558B"/>
    <w:rsid w:val="00DB7AFC"/>
    <w:rsid w:val="00E12DC4"/>
    <w:rsid w:val="00E61BCB"/>
    <w:rsid w:val="00E63A4B"/>
    <w:rsid w:val="00EE0BB7"/>
    <w:rsid w:val="00E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8625C"/>
  <w15:docId w15:val="{017E3E3C-628A-4B0D-9A47-44C9E570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F4"/>
    <w:rPr>
      <w:rFonts w:ascii="Calibri" w:eastAsia="Calibri" w:hAnsi="Calibri" w:cs="Calibri"/>
    </w:rPr>
  </w:style>
  <w:style w:type="paragraph" w:styleId="Heading1">
    <w:name w:val="heading 1"/>
    <w:basedOn w:val="Normal"/>
    <w:link w:val="Heading1Char"/>
    <w:uiPriority w:val="9"/>
    <w:qFormat/>
    <w:pPr>
      <w:ind w:left="113"/>
      <w:outlineLvl w:val="0"/>
    </w:pPr>
    <w:rPr>
      <w:b/>
      <w:bCs/>
    </w:rPr>
  </w:style>
  <w:style w:type="paragraph" w:styleId="Heading2">
    <w:name w:val="heading 2"/>
    <w:basedOn w:val="Normal"/>
    <w:link w:val="Heading2Char"/>
    <w:uiPriority w:val="9"/>
    <w:unhideWhenUsed/>
    <w:qFormat/>
    <w:pPr>
      <w:ind w:left="11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
      <w:ind w:left="1558" w:right="1726"/>
      <w:jc w:val="center"/>
    </w:pPr>
    <w:rPr>
      <w:b/>
      <w:bCs/>
      <w:sz w:val="28"/>
      <w:szCs w:val="28"/>
    </w:rPr>
  </w:style>
  <w:style w:type="paragraph" w:styleId="ListParagraph">
    <w:name w:val="List Paragraph"/>
    <w:basedOn w:val="Normal"/>
    <w:uiPriority w:val="1"/>
    <w:qFormat/>
    <w:pPr>
      <w:ind w:left="473"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007F4"/>
    <w:rPr>
      <w:rFonts w:ascii="Calibri" w:eastAsia="Calibri" w:hAnsi="Calibri" w:cs="Calibri"/>
      <w:b/>
      <w:bCs/>
    </w:rPr>
  </w:style>
  <w:style w:type="character" w:customStyle="1" w:styleId="Heading2Char">
    <w:name w:val="Heading 2 Char"/>
    <w:basedOn w:val="DefaultParagraphFont"/>
    <w:link w:val="Heading2"/>
    <w:uiPriority w:val="9"/>
    <w:rsid w:val="00D007F4"/>
    <w:rPr>
      <w:rFonts w:ascii="Calibri" w:eastAsia="Calibri" w:hAnsi="Calibri" w:cs="Calibri"/>
      <w:b/>
      <w:bCs/>
    </w:rPr>
  </w:style>
  <w:style w:type="character" w:customStyle="1" w:styleId="BodyTextChar">
    <w:name w:val="Body Text Char"/>
    <w:basedOn w:val="DefaultParagraphFont"/>
    <w:link w:val="BodyText"/>
    <w:uiPriority w:val="1"/>
    <w:rsid w:val="00D007F4"/>
    <w:rPr>
      <w:rFonts w:ascii="Calibri" w:eastAsia="Calibri" w:hAnsi="Calibri" w:cs="Calibri"/>
    </w:rPr>
  </w:style>
  <w:style w:type="character" w:styleId="Hyperlink">
    <w:name w:val="Hyperlink"/>
    <w:basedOn w:val="DefaultParagraphFont"/>
    <w:uiPriority w:val="99"/>
    <w:unhideWhenUsed/>
    <w:rsid w:val="004D6A2C"/>
    <w:rPr>
      <w:color w:val="0000FF" w:themeColor="hyperlink"/>
      <w:u w:val="single"/>
    </w:rPr>
  </w:style>
  <w:style w:type="character" w:styleId="UnresolvedMention">
    <w:name w:val="Unresolved Mention"/>
    <w:basedOn w:val="DefaultParagraphFont"/>
    <w:uiPriority w:val="99"/>
    <w:semiHidden/>
    <w:unhideWhenUsed/>
    <w:rsid w:val="004D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ument-tc.galaxy.tf/wdpdf-42qxd6v02485wnok7vluks28w/fi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00 Month 2006</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Month 2006</dc:title>
  <dc:creator>Dan Volentir</dc:creator>
  <cp:lastModifiedBy>Miruna Tanase</cp:lastModifiedBy>
  <cp:revision>8</cp:revision>
  <cp:lastPrinted>2024-02-12T10:22:00Z</cp:lastPrinted>
  <dcterms:created xsi:type="dcterms:W3CDTF">2024-02-21T08:05:00Z</dcterms:created>
  <dcterms:modified xsi:type="dcterms:W3CDTF">2024-06-10T13:25:00Z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2019</vt:lpwstr>
  </property>
  <property fmtid="{D5CDD505-2E9C-101B-9397-08002B2CF9AE}" pid="4" name="LastSaved">
    <vt:filetime>2022-06-16T00:00:00Z</vt:filetime>
  </property>
</Properties>
</file>